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2E0C" w14:textId="77777777" w:rsidR="004B1E62" w:rsidRPr="004A16F5" w:rsidRDefault="00072D2B" w:rsidP="006F5137">
      <w:pPr>
        <w:pStyle w:val="Heading2"/>
        <w:bidi/>
        <w:spacing w:before="200" w:after="10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السياسات التحريرية</w:t>
      </w:r>
    </w:p>
    <w:p w14:paraId="53822E0D" w14:textId="77777777" w:rsidR="004B1E62" w:rsidRPr="004A16F5" w:rsidRDefault="00072D2B" w:rsidP="006F5137">
      <w:pPr>
        <w:pStyle w:val="Heading2"/>
        <w:bidi/>
        <w:spacing w:before="200" w:after="10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المحتوى</w:t>
      </w:r>
    </w:p>
    <w:p w14:paraId="53822E0E"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الإعلانات</w:t>
      </w:r>
    </w:p>
    <w:p w14:paraId="53822E0F"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الانتماءات المؤسسية</w:t>
      </w:r>
    </w:p>
    <w:p w14:paraId="53822E10"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الطعون والشكاوى</w:t>
      </w:r>
    </w:p>
    <w:p w14:paraId="53822E11"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الشكر والتقدير</w:t>
      </w:r>
    </w:p>
    <w:p w14:paraId="53822E12"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التأليف</w:t>
      </w:r>
    </w:p>
    <w:p w14:paraId="53822E13"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الاستشهادات المرجعية</w:t>
      </w:r>
    </w:p>
    <w:p w14:paraId="53822E14"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تضارب المصالح / المصالح المتنافسة</w:t>
      </w:r>
    </w:p>
    <w:p w14:paraId="53822E15"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التصويبات، وبيانات القلق، والسحب</w:t>
      </w:r>
    </w:p>
    <w:p w14:paraId="53822E16"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الموافقة على النشر</w:t>
      </w:r>
    </w:p>
    <w:p w14:paraId="53822E17"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السرية</w:t>
      </w:r>
    </w:p>
    <w:p w14:paraId="53822E18"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سياسة حقوق النشر</w:t>
      </w:r>
    </w:p>
    <w:p w14:paraId="53822E19"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تزييف البيانات وتلفيقها</w:t>
      </w:r>
    </w:p>
    <w:p w14:paraId="53822E1A" w14:textId="1375572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سياسة الرفض </w:t>
      </w:r>
      <w:r w:rsidR="008E4DE3">
        <w:rPr>
          <w:rFonts w:asciiTheme="majorBidi" w:eastAsia="Arial" w:hAnsiTheme="majorBidi" w:cstheme="majorBidi" w:hint="cs"/>
          <w:sz w:val="28"/>
          <w:szCs w:val="28"/>
          <w:rtl/>
        </w:rPr>
        <w:t xml:space="preserve">الأولي </w:t>
      </w:r>
    </w:p>
    <w:p w14:paraId="53822E1B"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الإرسال أو النشر المزدوج</w:t>
      </w:r>
    </w:p>
    <w:p w14:paraId="53822E1C"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التمويل</w:t>
      </w:r>
    </w:p>
    <w:p w14:paraId="53822E1D"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الصور والأشكال</w:t>
      </w:r>
    </w:p>
    <w:p w14:paraId="53822E1E"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سوء السلوك</w:t>
      </w:r>
    </w:p>
    <w:p w14:paraId="53822E1F"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أخلاقيات النشر</w:t>
      </w:r>
    </w:p>
    <w:p w14:paraId="53822E20"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عملية التحكيم العلمي</w:t>
      </w:r>
    </w:p>
    <w:p w14:paraId="53822E21"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الانتحال العلمي</w:t>
      </w:r>
    </w:p>
    <w:p w14:paraId="53822E22" w14:textId="073A95E2"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سياسة </w:t>
      </w:r>
      <w:r w:rsidR="004D1EA4" w:rsidRPr="004D1EA4">
        <w:rPr>
          <w:rFonts w:asciiTheme="majorBidi" w:eastAsia="Arial" w:hAnsiTheme="majorBidi" w:cstheme="majorBidi"/>
          <w:sz w:val="28"/>
          <w:szCs w:val="28"/>
          <w:rtl/>
        </w:rPr>
        <w:t>نسخة ما قبل النشر</w:t>
      </w:r>
    </w:p>
    <w:p w14:paraId="53822E23"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حماية حق المرضى في الخصوصية</w:t>
      </w:r>
    </w:p>
    <w:p w14:paraId="53822E24"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أخلاقيات البحث والموافقة</w:t>
      </w:r>
    </w:p>
    <w:p w14:paraId="53822E25"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الأعداد الخاصة</w:t>
      </w:r>
    </w:p>
    <w:p w14:paraId="53822E26"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معايير الإبلاغ</w:t>
      </w:r>
    </w:p>
    <w:p w14:paraId="53822E27" w14:textId="653C8C12"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استخدام </w:t>
      </w:r>
      <w:r w:rsidR="00C516AA" w:rsidRPr="00C516AA">
        <w:rPr>
          <w:rFonts w:asciiTheme="majorBidi" w:eastAsia="Arial" w:hAnsiTheme="majorBidi" w:cstheme="majorBidi"/>
          <w:sz w:val="28"/>
          <w:szCs w:val="28"/>
          <w:rtl/>
        </w:rPr>
        <w:t>المواد المحمية بحقوق الغير</w:t>
      </w:r>
    </w:p>
    <w:p w14:paraId="53822E28"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استخدام الذكاء الاصطناعي التوليدي والتقنيات المدعومة بالذكاء الاصطناعي في الكتابة</w:t>
      </w:r>
    </w:p>
    <w:p w14:paraId="53822E29" w14:textId="77777777" w:rsidR="004B1E62" w:rsidRPr="004A16F5" w:rsidRDefault="00072D2B" w:rsidP="006F5137">
      <w:pPr>
        <w:pStyle w:val="ListParagraph"/>
        <w:numPr>
          <w:ilvl w:val="0"/>
          <w:numId w:val="2"/>
        </w:numPr>
        <w:bidi/>
        <w:spacing w:after="40" w:line="360" w:lineRule="auto"/>
        <w:rPr>
          <w:rFonts w:asciiTheme="majorBidi" w:hAnsiTheme="majorBidi" w:cstheme="majorBidi"/>
          <w:sz w:val="28"/>
          <w:szCs w:val="28"/>
        </w:rPr>
      </w:pPr>
      <w:r w:rsidRPr="004A16F5">
        <w:rPr>
          <w:rFonts w:asciiTheme="majorBidi" w:eastAsia="Arial" w:hAnsiTheme="majorBidi" w:cstheme="majorBidi"/>
          <w:sz w:val="28"/>
          <w:szCs w:val="28"/>
          <w:rtl/>
        </w:rPr>
        <w:t>استخدام الذكاء الاصطناعي في التحكيم العلمي</w:t>
      </w:r>
    </w:p>
    <w:p w14:paraId="1135C1F6" w14:textId="77777777" w:rsidR="00B0302C" w:rsidRDefault="00B0302C" w:rsidP="006F5137">
      <w:pPr>
        <w:bidi/>
        <w:spacing w:after="160" w:line="360" w:lineRule="auto"/>
        <w:rPr>
          <w:rFonts w:asciiTheme="majorBidi" w:eastAsia="Arial" w:hAnsiTheme="majorBidi" w:cstheme="majorBidi"/>
          <w:sz w:val="28"/>
          <w:szCs w:val="28"/>
        </w:rPr>
      </w:pPr>
    </w:p>
    <w:p w14:paraId="53822E2A" w14:textId="643F5115"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تتبع المجلة الإرشادات التي وضعتها لجنة أخلاقيات النشر (COPE).</w:t>
      </w:r>
      <w:r w:rsidR="00313A24">
        <w:rPr>
          <w:rFonts w:asciiTheme="majorBidi" w:eastAsia="Arial" w:hAnsiTheme="majorBidi" w:cstheme="majorBidi" w:hint="cs"/>
          <w:sz w:val="28"/>
          <w:szCs w:val="28"/>
          <w:rtl/>
          <w:lang w:bidi="ar-IQ"/>
        </w:rPr>
        <w:t xml:space="preserve">يعتبر ارسال البحث </w:t>
      </w:r>
      <w:r w:rsidR="002669DA">
        <w:rPr>
          <w:rFonts w:asciiTheme="majorBidi" w:eastAsia="Arial" w:hAnsiTheme="majorBidi" w:cstheme="majorBidi" w:hint="cs"/>
          <w:sz w:val="28"/>
          <w:szCs w:val="28"/>
          <w:rtl/>
          <w:lang w:bidi="ar-IQ"/>
        </w:rPr>
        <w:t xml:space="preserve">تاكيدا من </w:t>
      </w:r>
      <w:r w:rsidRPr="004A16F5">
        <w:rPr>
          <w:rFonts w:asciiTheme="majorBidi" w:eastAsia="Arial" w:hAnsiTheme="majorBidi" w:cstheme="majorBidi"/>
          <w:sz w:val="28"/>
          <w:szCs w:val="28"/>
          <w:rtl/>
        </w:rPr>
        <w:t>جميع المؤلفين بأنهم راجعوا محتواها بعناية ووافقوا عليه، وأن العمل يتوافق مع سياسات المجلة.</w:t>
      </w:r>
    </w:p>
    <w:p w14:paraId="53822E2B"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الإعلانات</w:t>
      </w:r>
    </w:p>
    <w:p w14:paraId="53822E2C"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لا تقبل المجلة إعلانات من أطراف ثالثة.</w:t>
      </w:r>
    </w:p>
    <w:p w14:paraId="53822E2D"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الانتماءات المؤسسية</w:t>
      </w:r>
    </w:p>
    <w:p w14:paraId="53822E2E"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يجب على المؤلفين الإقرار بالمؤسسات أو الجهات التي أذنت بالدراسة أو النشاط الأكاديمي أو مولته أو نفّذته، من خلال قائمة شاملة بالانتماءات المؤسسية.</w:t>
      </w:r>
    </w:p>
    <w:p w14:paraId="53822E2F"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ينبغي للمؤلفين الإفصاح عن انتمائهم المؤسسي الحالي في المقالات غير البحثية.</w:t>
      </w:r>
    </w:p>
    <w:p w14:paraId="53822E30"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يجب الإشارة إلى الجهة التي أُجري فيها البحث وإلى الانتماء الحالي للمؤلف، إذا انتقل المؤلف إلى مؤسسة أخرى قبل نشر المقالة.</w:t>
      </w:r>
    </w:p>
    <w:p w14:paraId="53822E31" w14:textId="00879EB6"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يجب على المؤلفين التصريح باستقلاليتهم إذا لم يكن لديهم انتماء مؤسسي حالي.</w:t>
      </w:r>
    </w:p>
    <w:p w14:paraId="53822E32"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الطعون والشكاوى</w:t>
      </w:r>
    </w:p>
    <w:p w14:paraId="53822E33"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تلتزم المجلة بقواعد لجنة أخلاقيات النشر (COPE) المتعلقة بالشكاوى الخاصة بتعامل المجلة التحريري مع عملية التحكيم العلمي، وبالطعون في قرارات المحرر. وتُشجَّع الطعون الجادة في قرارات المحرر، إلا أنه يتعين على مقدّم الطعن الرد على ملاحظات المحرر والمحكّمين بأدلة مقنعة أو بيانات/معلومات جديدة.</w:t>
      </w:r>
    </w:p>
    <w:p w14:paraId="53822E34"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الشكر والتقدير</w:t>
      </w:r>
    </w:p>
    <w:p w14:paraId="53822E35"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من المهم توجيه الشكر إلى من ساهم في إنجاز العمل دون أن يستوفي شروط التأليف. كما يجب الإقرار بجهود الجهات التي قدّمت التمويل أو أي موارد مهمة أخرى.</w:t>
      </w:r>
    </w:p>
    <w:p w14:paraId="53822E36"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lastRenderedPageBreak/>
        <w:t>التأليف</w:t>
      </w:r>
    </w:p>
    <w:p w14:paraId="53822E37" w14:textId="2936DAE0"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يُعدّ إدراج أسماء المؤلفين في المقالة أمرًا أساسيًا للاعتراف بمن أسهم إسهامًا جوهريًا في البحث، كما يضمن الشفافية لمن يتحمل مسؤولية </w:t>
      </w:r>
      <w:r w:rsidR="0051478E">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المحتوى. وللإدراج كمؤلف في المقالة، يجب أن يستوفي الفرد المعايير التالية:</w:t>
      </w:r>
    </w:p>
    <w:p w14:paraId="53822E38" w14:textId="5285D577" w:rsidR="004B1E62" w:rsidRPr="004A16F5" w:rsidRDefault="00072D2B" w:rsidP="006F5137">
      <w:pPr>
        <w:pStyle w:val="ListParagraph"/>
        <w:numPr>
          <w:ilvl w:val="0"/>
          <w:numId w:val="3"/>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أن يكون قد قدّم إسهامًا جوهريًا في جوانب مختلفة من مشروع البحث، بما في ذلك بناء التصور</w:t>
      </w:r>
      <w:r w:rsidR="0091538E">
        <w:rPr>
          <w:rFonts w:asciiTheme="majorBidi" w:eastAsia="Arial" w:hAnsiTheme="majorBidi" w:cstheme="majorBidi" w:hint="cs"/>
          <w:sz w:val="28"/>
          <w:szCs w:val="28"/>
          <w:rtl/>
        </w:rPr>
        <w:t xml:space="preserve"> النظري </w:t>
      </w:r>
      <w:r w:rsidRPr="004A16F5">
        <w:rPr>
          <w:rFonts w:asciiTheme="majorBidi" w:eastAsia="Arial" w:hAnsiTheme="majorBidi" w:cstheme="majorBidi"/>
          <w:sz w:val="28"/>
          <w:szCs w:val="28"/>
          <w:rtl/>
        </w:rPr>
        <w:t>، وتصميم الدراسة، والتنفيذ، وجمع البيانات، وتحليلها، وتفسيرها.</w:t>
      </w:r>
    </w:p>
    <w:p w14:paraId="53822E39" w14:textId="77777777" w:rsidR="004B1E62" w:rsidRPr="004A16F5" w:rsidRDefault="00072D2B" w:rsidP="006F5137">
      <w:pPr>
        <w:pStyle w:val="ListParagraph"/>
        <w:numPr>
          <w:ilvl w:val="0"/>
          <w:numId w:val="3"/>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أن يكون قد شارك في صياغة المخطوطة أو مراجعتها، أو قام بتقييم العمل تقييمًا نقديًا.</w:t>
      </w:r>
    </w:p>
    <w:p w14:paraId="53822E3A" w14:textId="77777777" w:rsidR="004B1E62" w:rsidRPr="004A16F5" w:rsidRDefault="00072D2B" w:rsidP="006F5137">
      <w:pPr>
        <w:pStyle w:val="ListParagraph"/>
        <w:numPr>
          <w:ilvl w:val="0"/>
          <w:numId w:val="3"/>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أن تكون المجلة التي سترسل إليها المقالة قد تم اختيارها بمشاركته.</w:t>
      </w:r>
    </w:p>
    <w:p w14:paraId="53822E3B" w14:textId="77777777" w:rsidR="004B1E62" w:rsidRPr="004A16F5" w:rsidRDefault="00072D2B" w:rsidP="006F5137">
      <w:pPr>
        <w:pStyle w:val="ListParagraph"/>
        <w:numPr>
          <w:ilvl w:val="0"/>
          <w:numId w:val="3"/>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أن تكون المقالة قد خضعت لعملية مراجعة شاملة، مع مراجعة جميع النسخ والموافقة عليها قبل الإرسال، بما يشمل التدقيق الدقيق للنسخة النهائية المقبولة أثناء التصحيح.</w:t>
      </w:r>
    </w:p>
    <w:p w14:paraId="53822E3C"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يجب على المؤلفين الموافقة على تحمّل المسؤولية عن محتوى المقالة والتعاون في معالجة أي أسئلة تتعلق بدقة العمل المنشور أو سلامته.</w:t>
      </w:r>
    </w:p>
    <w:p w14:paraId="53822E3D"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لتغيير تأليف عمل منشور، سواء قبل نشره أو بعده، يجب الحصول على موافقة جميع المؤلفين بالإجماع، بمن فيهم من تتم إضافتهم أو حذفهم. ويتحمل المؤلف المُراسِل مسؤولية تأكيد هذه الموافقة من جميع المؤلفين المشاركين وتبرير الحاجة إلى التغيير. وإذا لزم تعديل التأليف بعد النشر، فسيتم تناوله من خلال إشعار لاحق للنشر. ويجب أن تتوافق جميع التغييرات مع معايير التأليف المعتمدة. ويجوز رفض طلبات التعديل الجوهري على قائمة التأليف بعد القبول، ما لم تُقدَّم مبررات وأدلة مقنعة على الإسهامات من المؤلفين.</w:t>
      </w:r>
    </w:p>
    <w:p w14:paraId="53822E3E"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معايير التأليف</w:t>
      </w:r>
    </w:p>
    <w:p w14:paraId="53822E3F" w14:textId="663EACB5"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ينبغي أن يستند الاعتراف بالتأليف حصرًا إلى الإسهامات الجوهرية في العناصر الثلاثة الرئيسية المذكورة سابقًا. يشمل العنصر الأول بناء تصور الدراسة</w:t>
      </w:r>
      <w:r w:rsidR="002E25B9">
        <w:rPr>
          <w:rFonts w:asciiTheme="majorBidi" w:eastAsia="Arial" w:hAnsiTheme="majorBidi" w:cstheme="majorBidi"/>
          <w:sz w:val="28"/>
          <w:szCs w:val="28"/>
        </w:rPr>
        <w:t xml:space="preserve"> </w:t>
      </w:r>
      <w:r w:rsidR="002E25B9">
        <w:rPr>
          <w:rFonts w:asciiTheme="majorBidi" w:eastAsia="Arial" w:hAnsiTheme="majorBidi" w:cstheme="majorBidi" w:hint="cs"/>
          <w:sz w:val="28"/>
          <w:szCs w:val="28"/>
          <w:rtl/>
        </w:rPr>
        <w:t xml:space="preserve">النظري </w:t>
      </w:r>
      <w:r w:rsidRPr="004A16F5">
        <w:rPr>
          <w:rFonts w:asciiTheme="majorBidi" w:eastAsia="Arial" w:hAnsiTheme="majorBidi" w:cstheme="majorBidi"/>
          <w:sz w:val="28"/>
          <w:szCs w:val="28"/>
          <w:rtl/>
        </w:rPr>
        <w:t>وتصميمها، إلى جانب جمع البيانات وتحليلها. ويتعلق العنصر الثاني إما بالكتابة الأولية للمقالة أو مراجعتها النقدية لإدراج إسهامات فكرية جوهرية. ويتطلب العنصر الثالث منح الموافقة النهائية على نشر المقالة بصيغتها الحالية.</w:t>
      </w:r>
    </w:p>
    <w:p w14:paraId="53822E40"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لا تُبرِّر المشاركة في الحصول على التمويل أو في جمع البيانات وحدها التأليف. كما أن تقديم الإشراف العام على فريق بحثي لا يستوفي معايير التأليف. ومن الضروري أن يكون كل فرد مسؤول عن أي قسم من الأقسام ذات الصلة قد قدّم إسهامات هادفة لتبرير مسؤوليته عنها.</w:t>
      </w:r>
    </w:p>
    <w:p w14:paraId="53822E41"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ينبغي أن يعكس ترتيب المؤلفين إسهام كل فرد في عمليتي البحث والكتابة. وبمجرد تقديم المقالة، يُثبَّت هذا الترتيب ما لم يوافق جميع المؤلفين صراحةً على أي تغيير. ويحدد أقصى عدد للمؤلفين المسموح به لكل ورقة بحثية من قبل المجلة، مع مراعاة عوامل مثل نوع المخطوطة ونطاقها وعدد المؤسسات المشاركة. وإذا تجاوز عدد المؤلفين الحدود المقررة، يجب تقديم تفسير لذلك.</w:t>
      </w:r>
    </w:p>
    <w:p w14:paraId="53822E42"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تفاصيل الإسهام</w:t>
      </w:r>
    </w:p>
    <w:p w14:paraId="53822E43" w14:textId="7F087650"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يُطلب من المشاركين في المشروع تقديم بيان تفصيلي بإسهاماتهم المحددة في المستند. وينبغي تصنيف هذه الإسهامات ضمن مجالات مثل تطوير التصور، وتصميم الدراسة، وتحديد المحتوى الفكري، وإجراء مراجعات الأدبيات، والدراسات السريرية، والدراسات التجريبية، وجمع البيانات، وتحليل البيانات، والتحليل الإحصائي، وكتابة المخطوطة، وتحريرها، ومراجعتها. وسيُعترف بإسهامات المؤلفين عند نشر المقالة. كما سيُعيَّن مؤلف واحد أو أكثر بصفة "ضامن"، يتحمل مسؤولية ضمان </w:t>
      </w:r>
      <w:r w:rsidR="004A6497">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 xml:space="preserve">العمل من </w:t>
      </w:r>
      <w:r w:rsidR="004A6497">
        <w:rPr>
          <w:rFonts w:asciiTheme="majorBidi" w:eastAsia="Arial" w:hAnsiTheme="majorBidi" w:cstheme="majorBidi" w:hint="cs"/>
          <w:sz w:val="28"/>
          <w:szCs w:val="28"/>
          <w:rtl/>
        </w:rPr>
        <w:t xml:space="preserve">بداية انطلاقه </w:t>
      </w:r>
      <w:r w:rsidRPr="004A16F5">
        <w:rPr>
          <w:rFonts w:asciiTheme="majorBidi" w:eastAsia="Arial" w:hAnsiTheme="majorBidi" w:cstheme="majorBidi"/>
          <w:sz w:val="28"/>
          <w:szCs w:val="28"/>
          <w:rtl/>
        </w:rPr>
        <w:t xml:space="preserve"> حتى نشره.</w:t>
      </w:r>
    </w:p>
    <w:p w14:paraId="53822E44"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الاستشهادات المرجعية</w:t>
      </w:r>
    </w:p>
    <w:p w14:paraId="53822E45"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لدعم الادعاءات الواردة في المقالات البحثية وغير البحثية على حد سواء، من الضروري إدراج استشهادات مناسبة بمراجع ذات صلة وحديثة وموثوقة، مع إعطاء الأولوية للمصادر المحكّمة علميًا. وينبغي للمؤلفين تجنّب الاستشهاد الذاتي المفرط أو غير الملائم، وكذلك أي تواطؤ بين مجموعات من المؤلفين للاستشهاد غير الملائم بأعمال بعضهم البعض. وتُعدّ مثل هذه الممارسات شكلاً من أشكال سوء السلوك يُعرف بـ"التلاعب بالاستشهادات"، ومن المهم الاطلاع على إرشادات لجنة أخلاقيات النشر (COPE) بشأن هذه المسألة.</w:t>
      </w:r>
    </w:p>
    <w:p w14:paraId="53822E4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بالنسبة للمؤلفين المساهمين في المقالات غير البحثية، مثل المراجعات أو مقالات الرأي، من الضروري التأكد من أن المراجع المستخدمة ذات صلة، وتقدم عرضًا نزيهًا وشاملاً للبحوث أو الأعمال العلمية القائمة حول الموضوع. وينبغي أن تُظهر المراجع الإنصاف وأن تتجنب أي تحيّز تجاه مجموعة بحثية أو مؤسسة أو مجلة بعينها.</w:t>
      </w:r>
    </w:p>
    <w:p w14:paraId="53822E47"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وإذا كان هناك أي شك حول ضرورة الاستشهاد بمصدر ما، يُنصح بالرجوع إلى مكتب تحرير المجلة للاستفسار.</w:t>
      </w:r>
    </w:p>
    <w:p w14:paraId="53822E48"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تضارب المصالح / المصالح المتنافسة</w:t>
      </w:r>
    </w:p>
    <w:p w14:paraId="53822E49"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يجب على مؤلفي الأوراق البحثية الإفصاح الكامل عن أي تضارب مصالح متعلق بنشر مخطوطتهم، بما في ذلك أي انتماءات لمؤسسات أو منتجات مذكورة في العمل قد تؤثر في نتائج الدراسة. كما يُطلب من المؤلفين الإفصاح عن أي تضارب مصالح يتعلق بمنتجات منافسة لتلك التي تتناولها مخطوطتهم.</w:t>
      </w:r>
    </w:p>
    <w:p w14:paraId="53822E4A"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التصويبات، وبيانات القلق، والسحب</w:t>
      </w:r>
    </w:p>
    <w:p w14:paraId="53822E4B"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قد يستلزم الأمر أحيانًا إجراء تعديلات على النسخة النهائية المحررة لمقالة منشورة. وسيشرف المحرر على هذه العملية بالتعاون مع فريق المجلة، بما يضمن توافق أي تغييرات مع الإرشادات التي وضعتها لجنة أخلاقيات النشر (COPE). وستُرفق أي تعديلات بإشعار دائم لاحق للنشر يُربط بالمقالة الأصلية للحفاظ على سلامة السجل العلمي. وتشمل أنواع التصويبات في المنشورات الأكاديمية: إشعار تصويب (Corrigendum أو Erratum)، أو بيان قلق (Expression of Concern)، أو سحب (Retraction)، أو في حالات استثنائية، إزالة (Removal).</w:t>
      </w:r>
    </w:p>
    <w:p w14:paraId="53822E4C"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الهدف الأساسي من هذه التصويبات هو ضمان إجراء تعديلات شفافة ودائمة للحفاظ على سلامة السجل المنشور.</w:t>
      </w:r>
    </w:p>
    <w:p w14:paraId="53822E4D" w14:textId="6B77633C" w:rsidR="004B1E62" w:rsidRPr="004A16F5" w:rsidRDefault="00072D2B" w:rsidP="006F5137">
      <w:pPr>
        <w:bidi/>
        <w:spacing w:after="160" w:line="360" w:lineRule="auto"/>
        <w:rPr>
          <w:rFonts w:asciiTheme="majorBidi" w:hAnsiTheme="majorBidi" w:cstheme="majorBidi"/>
          <w:sz w:val="28"/>
          <w:szCs w:val="28"/>
        </w:rPr>
      </w:pPr>
      <w:r w:rsidRPr="001470CE">
        <w:rPr>
          <w:rFonts w:asciiTheme="majorBidi" w:eastAsia="Arial" w:hAnsiTheme="majorBidi" w:cstheme="majorBidi"/>
          <w:b/>
          <w:bCs/>
          <w:sz w:val="28"/>
          <w:szCs w:val="28"/>
          <w:rtl/>
        </w:rPr>
        <w:t>إشعار التصويب</w:t>
      </w:r>
      <w:r w:rsidRPr="004A16F5">
        <w:rPr>
          <w:rFonts w:asciiTheme="majorBidi" w:eastAsia="Arial" w:hAnsiTheme="majorBidi" w:cstheme="majorBidi"/>
          <w:sz w:val="28"/>
          <w:szCs w:val="28"/>
          <w:rtl/>
        </w:rPr>
        <w:t xml:space="preserve">: يُصدر إشعار التصويب عند الحاجة لتصحيح خطأ أو إغفال قد يؤثر في تفسير المقالة، مع الحفاظ على </w:t>
      </w:r>
      <w:r w:rsidR="00922174">
        <w:rPr>
          <w:rFonts w:asciiTheme="majorBidi" w:eastAsia="Arial" w:hAnsiTheme="majorBidi" w:cstheme="majorBidi" w:hint="cs"/>
          <w:sz w:val="28"/>
          <w:szCs w:val="28"/>
          <w:rtl/>
        </w:rPr>
        <w:t xml:space="preserve">نزاهتها </w:t>
      </w:r>
      <w:r w:rsidRPr="004A16F5">
        <w:rPr>
          <w:rFonts w:asciiTheme="majorBidi" w:eastAsia="Arial" w:hAnsiTheme="majorBidi" w:cstheme="majorBidi"/>
          <w:sz w:val="28"/>
          <w:szCs w:val="28"/>
          <w:rtl/>
        </w:rPr>
        <w:t>العلمية. وقد تشمل الأخطاء سوء تحديد للتمثيلات البيانية، أو إغفال تفاصيل متعلقة بالتمويل، أو تضارب مصالح غير مُفصح عنه. وهناك نوعان من إشعارات التصويب:</w:t>
      </w:r>
    </w:p>
    <w:p w14:paraId="53822E4E"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 xml:space="preserve">Corrigendum: </w:t>
      </w:r>
      <w:r w:rsidRPr="004A16F5">
        <w:rPr>
          <w:rFonts w:asciiTheme="majorBidi" w:eastAsia="Arial" w:hAnsiTheme="majorBidi" w:cstheme="majorBidi"/>
          <w:sz w:val="28"/>
          <w:szCs w:val="28"/>
          <w:rtl/>
        </w:rPr>
        <w:t>يُستخدم للأخطاء التي أدخلها المؤلفون.</w:t>
      </w:r>
    </w:p>
    <w:p w14:paraId="53822E4F"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 xml:space="preserve">Erratum: </w:t>
      </w:r>
      <w:r w:rsidRPr="004A16F5">
        <w:rPr>
          <w:rFonts w:asciiTheme="majorBidi" w:eastAsia="Arial" w:hAnsiTheme="majorBidi" w:cstheme="majorBidi"/>
          <w:sz w:val="28"/>
          <w:szCs w:val="28"/>
          <w:rtl/>
        </w:rPr>
        <w:t>يُستخدم للأخطاء التي أدخلتها الجهة الناشرة.</w:t>
      </w:r>
    </w:p>
    <w:p w14:paraId="53822E50" w14:textId="77777777" w:rsidR="004B1E62" w:rsidRPr="004A16F5" w:rsidRDefault="00072D2B" w:rsidP="006F5137">
      <w:pPr>
        <w:bidi/>
        <w:spacing w:after="160" w:line="360" w:lineRule="auto"/>
        <w:rPr>
          <w:rFonts w:asciiTheme="majorBidi" w:hAnsiTheme="majorBidi" w:cstheme="majorBidi"/>
          <w:sz w:val="28"/>
          <w:szCs w:val="28"/>
        </w:rPr>
      </w:pPr>
      <w:r w:rsidRPr="00590C02">
        <w:rPr>
          <w:rFonts w:asciiTheme="majorBidi" w:eastAsia="Arial" w:hAnsiTheme="majorBidi" w:cstheme="majorBidi"/>
          <w:b/>
          <w:bCs/>
          <w:sz w:val="28"/>
          <w:szCs w:val="28"/>
          <w:rtl/>
        </w:rPr>
        <w:t>إشعار السحب</w:t>
      </w:r>
      <w:r w:rsidRPr="004A16F5">
        <w:rPr>
          <w:rFonts w:asciiTheme="majorBidi" w:eastAsia="Arial" w:hAnsiTheme="majorBidi" w:cstheme="majorBidi"/>
          <w:sz w:val="28"/>
          <w:szCs w:val="28"/>
          <w:rtl/>
        </w:rPr>
        <w:t>: يُصدر إشعار السحب عند وجود خطأ جوهري، كعيوب في التحليل أو المنهجية، يُبطل استنتاجات المقالة. كما يحدث السحب في حالات سوء السلوك البحثي أو النشري، بما في ذلك البحث المنفَّذ دون الموافقات الأخلاقية اللازمة، أو تلفيق البيانات، أو التلاعب بالصور، أو الانتحال، أو نشر محتوى مكرر. وسيلتزم قرار سحب المقالة بإرشادات COPE. ويمكن للمؤلفين والمؤسسات طلب السحب إذا قدّموا أسبابًا تتوافق مع الأسس المعتمدة. وستتبع جميع عمليات السحب الإرشادات التالية:</w:t>
      </w:r>
    </w:p>
    <w:p w14:paraId="53822E51"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سيتم ربط المقالة المسحوبة بالمقالة الأصلية في الاتجاهين.</w:t>
      </w:r>
    </w:p>
    <w:p w14:paraId="53822E52"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ستُوسَم المقالة المسحوبة بوضوح على هذا الأساس.</w:t>
      </w:r>
    </w:p>
    <w:p w14:paraId="53822E53"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سيُحتفَظ بالنسخة الأصلية بصيغتي HTML وPDF، مع وسم كلتيهما بعبارة "مسحوبة".</w:t>
      </w:r>
    </w:p>
    <w:p w14:paraId="53822E54"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سيُقدَّم توضيح مفصّل لسبب السحب.</w:t>
      </w:r>
    </w:p>
    <w:p w14:paraId="53822E55"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سيُحدَّد بوضوح الأشخاص المسؤولون عن طلب السحب، سواء كانوا المؤلفين و/أو المحرر.</w:t>
      </w:r>
    </w:p>
    <w:p w14:paraId="53822E5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الهدف من السحب هو تصحيح السجل العلمي والحفاظ على سلامة السجل المنشور، وليس معاقبة المؤلفين. وعادةً لا تُحل الخلافات العلمية عن طريق السحب؛ ففي مثل هذه الحالات، يُوصى بإصدار تصويب مدعوم من مؤسسات المؤلفين. وللتخفيف من تبعات المنشورات غير الدقيقة أو المضلِّلة، ستُبذل الجهود لإصدار إشعارات السحب اللازمة في أسرع وقت ممكن.</w:t>
      </w:r>
    </w:p>
    <w:p w14:paraId="53822E57" w14:textId="77777777" w:rsidR="004B1E62" w:rsidRPr="004A16F5" w:rsidRDefault="00072D2B" w:rsidP="006F5137">
      <w:pPr>
        <w:bidi/>
        <w:spacing w:after="160" w:line="360" w:lineRule="auto"/>
        <w:rPr>
          <w:rFonts w:asciiTheme="majorBidi" w:hAnsiTheme="majorBidi" w:cstheme="majorBidi"/>
          <w:sz w:val="28"/>
          <w:szCs w:val="28"/>
        </w:rPr>
      </w:pPr>
      <w:r w:rsidRPr="00BB3DDC">
        <w:rPr>
          <w:rFonts w:asciiTheme="majorBidi" w:eastAsia="Arial" w:hAnsiTheme="majorBidi" w:cstheme="majorBidi"/>
          <w:b/>
          <w:bCs/>
          <w:sz w:val="28"/>
          <w:szCs w:val="28"/>
          <w:rtl/>
        </w:rPr>
        <w:t>بيان القلق</w:t>
      </w:r>
      <w:r w:rsidRPr="004A16F5">
        <w:rPr>
          <w:rFonts w:asciiTheme="majorBidi" w:eastAsia="Arial" w:hAnsiTheme="majorBidi" w:cstheme="majorBidi"/>
          <w:sz w:val="28"/>
          <w:szCs w:val="28"/>
          <w:rtl/>
        </w:rPr>
        <w:t>: قد يُصدر هذا الإشعار عند وجود مخاوف جوهرية، كسوء سلوك بحثي أو نشري خطير. ويُصدر عادةً عندما تكون التحقيقات غير حاسمة أو طويلة الأمد. وبعد انتهاء التحقيق، قد يتبع بيان القلق إشعار تصويب أو سحب، وستبقى كلتا الوثيقتين في السجل العام إلى جانب المقالة الأصلية.</w:t>
      </w:r>
    </w:p>
    <w:p w14:paraId="53822E58" w14:textId="77777777" w:rsidR="004B1E62" w:rsidRPr="004A16F5" w:rsidRDefault="00072D2B" w:rsidP="006F5137">
      <w:pPr>
        <w:bidi/>
        <w:spacing w:after="160" w:line="360" w:lineRule="auto"/>
        <w:rPr>
          <w:rFonts w:asciiTheme="majorBidi" w:hAnsiTheme="majorBidi" w:cstheme="majorBidi"/>
          <w:sz w:val="28"/>
          <w:szCs w:val="28"/>
        </w:rPr>
      </w:pPr>
      <w:r w:rsidRPr="00567063">
        <w:rPr>
          <w:rFonts w:asciiTheme="majorBidi" w:eastAsia="Arial" w:hAnsiTheme="majorBidi" w:cstheme="majorBidi"/>
          <w:b/>
          <w:bCs/>
          <w:sz w:val="28"/>
          <w:szCs w:val="28"/>
          <w:rtl/>
        </w:rPr>
        <w:t>إشعار الإزالة</w:t>
      </w:r>
      <w:r w:rsidRPr="004A16F5">
        <w:rPr>
          <w:rFonts w:asciiTheme="majorBidi" w:eastAsia="Arial" w:hAnsiTheme="majorBidi" w:cstheme="majorBidi"/>
          <w:sz w:val="28"/>
          <w:szCs w:val="28"/>
          <w:rtl/>
        </w:rPr>
        <w:t>: في حالات استثنائية، قد يُصدر إشعار إزالة عندما يتعذر حل المسائل عبر إشعارات السحب أو التصويب. وقد يحدث ذلك إذا اعتُبر محتوى المقالة تشهيريًا، أو منتهكًا لحقوق قانونية، أو خاضعًا لأمر قضائي. وإذا سُحبت المقالة من الإنترنت، يُنشر إشعار بإزالتها مكانها.</w:t>
      </w:r>
    </w:p>
    <w:p w14:paraId="53822E59"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الموافقة على النشر</w:t>
      </w:r>
    </w:p>
    <w:p w14:paraId="53822E5A"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لإدراج معلومات أو مواد بصرية محددة تخص فردًا ما ضمن المخطوطة، من الضروري الحصول على موافقة خطية مستنيرة من ذلك الفرد. أما بالنسبة للقاصرين دون سن الثامنة عشرة، فيجب الحصول على الموافقة من والديهم أو ولي أمرهم القانوني. وإذا كان من المزمع نشر تفاصيل الفرد بموجب رخصة المشاع الإبداعي (Creative Commons Attribution License 4.0)، فيلزم الحصول على إذن صريح لضمان إتاحة معلوماته للجمهور على الإنترنت. وفي حال وفاة الفرد، يجب الحصول على موافقة أقرب أقربائه الأحياء قبل النشر. علاوة على ذلك، يجب أن تتضمن المخطوطة إقرارًا يؤكد الحصول على الموافقة الخطية المستنيرة للنشر.</w:t>
      </w:r>
    </w:p>
    <w:p w14:paraId="53822E5B"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يمكن للمؤلفين استخدام نموذج الموافقة الخاص بهم أو نموذجًا توفره مؤسستهم، بشرط أن يستوفي المعايير اللازمة. وينبغي أن يوضح نموذج الموافقة بجلاء أن المعلومات والصور المحددة ستُتاح على الإنترنت دون قيود، بما يسمح بالوصول العام إليها. ويجب على المؤلفين تقديم نموذج الموافقة إلى المحرر عند الطلب، وستُعامَل بسرية.</w:t>
      </w:r>
    </w:p>
    <w:p w14:paraId="53822E5C"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السرية</w:t>
      </w:r>
    </w:p>
    <w:p w14:paraId="53822E5D"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تُعتبر المخطوطة المقدَّمة وثيقة سرّية. وتطبّق المجلات الأكاديمية بروتوكولات سرية صارمة لحماية خصوصية الأوراق المقدَّمة. ويقتصر الاطلاع على المخطوطة على الأشخاص المشاركين في معالجتها </w:t>
      </w:r>
      <w:r w:rsidRPr="004A16F5">
        <w:rPr>
          <w:rFonts w:asciiTheme="majorBidi" w:eastAsia="Arial" w:hAnsiTheme="majorBidi" w:cstheme="majorBidi"/>
          <w:sz w:val="28"/>
          <w:szCs w:val="28"/>
          <w:rtl/>
        </w:rPr>
        <w:lastRenderedPageBreak/>
        <w:t>وإعدادها للنشر المحتمل، بمن فيهم فريق التحرير والمؤلف المراسل والمحكّمون المحتملون والفعليون والمحررون.</w:t>
      </w:r>
    </w:p>
    <w:p w14:paraId="53822E5E"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في الحالات التي يُشتبه فيها بسوء سلوك، يجوز مشاركة المخطوطة مع لجان أخلاقيات المجلات الأكاديمية والمؤسسات ذات الصلة بغرض التحقيق في سوء السلوك المزعوم. وفي مثل هذه الحالات، يُتوقَّع من المجلات الالتزام بالإرشادات المعتمدة، بما في ذلك مخططات لجنة أخلاقيات النشر (COPE) الإجرائية.</w:t>
      </w:r>
    </w:p>
    <w:p w14:paraId="53822E5F"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فيما يتعلق بسياسة حقوق النشر، من المهم الإشارة إلى أن المؤلفين يحتفظون عادةً ببعض الحقوق حتى بعد النشر. وقد يحتاج المؤلفون إلى نقل حقوق النشر إلى المجلة، تبعًا لسياسات المجلة. ويتيح هذا النقل للمجلة إدارة عملية النشر، بينما يمكن للمؤلفين غالبًا الاحتفاظ بحقوق استخدام عملهم بطرق معينة، كالتدريس أو البحث المستقبلي. وينبغي للمؤلفين مراجعة اتفاقية حقوق النشر التي تقدمها المجلة بعناية لفهم حقوقهم والتزاماتهم فهمًا كاملاً.</w:t>
      </w:r>
    </w:p>
    <w:p w14:paraId="53822E60"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سياسة حقوق النشر</w:t>
      </w:r>
    </w:p>
    <w:p w14:paraId="53822E61"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من يحق له تقديم الأعمال؟ يمكن للأفراد تقديم مخطوطة أصيلة للنشر المحتمل في مجلة جامعة الإمام جعفر الصادق للدراسات القانونية، شريطة أن يمتلكوا حقوق النشر الخاصة بالعمل المقدَّم أو أن يكونوا قد حصلوا على إذن من مالك (مالكي) حقوق النشر بذلك.</w:t>
      </w:r>
    </w:p>
    <w:p w14:paraId="53822E62"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حقوق المستخدم</w:t>
      </w:r>
    </w:p>
    <w:p w14:paraId="53822E63"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مجلة جامعة الإمام جعفر الصادق للدراسات القانونية مجلة ذات وصول مفتوح. وللمستخدمين الحق في قراءة النصوص الكاملة للمقالات وتنزيلها ونسخها وتوزيعها وطباعتها والبحث فيها والربط بها، وفق شروط رخصة CC BY 4.0 (نسب المصنَّف 4.0 الدولية - المشاع الإبداعي). ويُذكر بيان حقوق النشر ويُدرج في كل مقالة منشورة.</w:t>
      </w:r>
    </w:p>
    <w:p w14:paraId="53822E64"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سياسة الوصول المفتوح</w:t>
      </w:r>
    </w:p>
    <w:p w14:paraId="53822E65"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المجلة مجلة ذات وصول مفتوح. وللمستخدمين الحق في قراءة النصوص الكاملة للمقالات وتنزيلها ونسخها وتوزيعها وطباعتها والبحث فيها والربط بها، وفق شروط رخصة CC BY 4.0. وتتيح هذه الرخصة للقراء نسخ المساهمة وتوزيعها ونقلها، وتعديلها أو تحويلها أو البناء عليها، واستخدام المقالة لأغراض تجارية، طالما نُسب العمل إلى المؤلف والمصدر، أي المؤلف (المؤلفون) الأصليون والمصدر، مع منحهما الإسناد المناسب.</w:t>
      </w:r>
    </w:p>
    <w:p w14:paraId="53822E66"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lastRenderedPageBreak/>
        <w:t>حقوق المؤلف</w:t>
      </w:r>
    </w:p>
    <w:p w14:paraId="53822E67"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يحتفظ المؤلفون بحقوق النشر إلى جانب حقوق الاستخدام الأكاديمي، بينما تُمنح الجهة الناشرة حقوق النشر والتوزيع.</w:t>
      </w:r>
    </w:p>
    <w:p w14:paraId="53822E68"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تزييف البيانات وتلفيقها</w:t>
      </w:r>
    </w:p>
    <w:p w14:paraId="53822E69" w14:textId="06DB831C"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تُعدّ حالات التلاعب المتعمّد بالبيانات أو تلفيقها من صور سوء السلوك الأكاديمي الخطيرة. فمثل هذه الأفعال مصمَّمة خصيصًا لخداع الآخرين وتقويض </w:t>
      </w:r>
      <w:r w:rsidR="008121DC">
        <w:rPr>
          <w:rFonts w:asciiTheme="majorBidi" w:eastAsia="Arial" w:hAnsiTheme="majorBidi" w:cstheme="majorBidi" w:hint="cs"/>
          <w:sz w:val="28"/>
          <w:szCs w:val="28"/>
          <w:rtl/>
        </w:rPr>
        <w:t>ال</w:t>
      </w:r>
      <w:r w:rsidR="00C60F8F">
        <w:rPr>
          <w:rFonts w:asciiTheme="majorBidi" w:eastAsia="Arial" w:hAnsiTheme="majorBidi" w:cstheme="majorBidi" w:hint="cs"/>
          <w:sz w:val="28"/>
          <w:szCs w:val="28"/>
          <w:rtl/>
          <w:lang w:bidi="ar-IQ"/>
        </w:rPr>
        <w:t xml:space="preserve">نزاهة </w:t>
      </w:r>
      <w:r w:rsidR="008121DC">
        <w:rPr>
          <w:rFonts w:asciiTheme="majorBidi" w:eastAsia="Arial" w:hAnsiTheme="majorBidi" w:cstheme="majorBidi" w:hint="cs"/>
          <w:sz w:val="28"/>
          <w:szCs w:val="28"/>
          <w:rtl/>
          <w:lang w:bidi="ar-IQ"/>
        </w:rPr>
        <w:t xml:space="preserve">العلمية للمعرفة </w:t>
      </w:r>
      <w:r w:rsidRPr="004A16F5">
        <w:rPr>
          <w:rFonts w:asciiTheme="majorBidi" w:eastAsia="Arial" w:hAnsiTheme="majorBidi" w:cstheme="majorBidi"/>
          <w:sz w:val="28"/>
          <w:szCs w:val="28"/>
          <w:rtl/>
        </w:rPr>
        <w:t xml:space="preserve">، مما يؤدي إلى عواقب جسيمة </w:t>
      </w:r>
      <w:r w:rsidR="000B2CB3">
        <w:rPr>
          <w:rFonts w:asciiTheme="majorBidi" w:eastAsia="Arial" w:hAnsiTheme="majorBidi" w:cstheme="majorBidi" w:hint="cs"/>
          <w:sz w:val="28"/>
          <w:szCs w:val="28"/>
          <w:rtl/>
        </w:rPr>
        <w:t xml:space="preserve">وطويلة الأمد </w:t>
      </w:r>
      <w:r w:rsidRPr="004A16F5">
        <w:rPr>
          <w:rFonts w:asciiTheme="majorBidi" w:eastAsia="Arial" w:hAnsiTheme="majorBidi" w:cstheme="majorBidi"/>
          <w:sz w:val="28"/>
          <w:szCs w:val="28"/>
          <w:rtl/>
        </w:rPr>
        <w:t xml:space="preserve">على الأفراد المعنيين والمجتمع الأكاديمي عمومًا. وللحفاظ على </w:t>
      </w:r>
      <w:r w:rsidR="000B2CB3">
        <w:rPr>
          <w:rFonts w:asciiTheme="majorBidi" w:eastAsia="Arial" w:hAnsiTheme="majorBidi" w:cstheme="majorBidi" w:hint="cs"/>
          <w:sz w:val="28"/>
          <w:szCs w:val="28"/>
          <w:rtl/>
        </w:rPr>
        <w:t>ن</w:t>
      </w:r>
      <w:r w:rsidR="00097E64">
        <w:rPr>
          <w:rFonts w:asciiTheme="majorBidi" w:eastAsia="Arial" w:hAnsiTheme="majorBidi" w:cstheme="majorBidi" w:hint="cs"/>
          <w:sz w:val="28"/>
          <w:szCs w:val="28"/>
          <w:rtl/>
        </w:rPr>
        <w:t xml:space="preserve">زاهة العملية البحثية </w:t>
      </w:r>
      <w:r w:rsidRPr="004A16F5">
        <w:rPr>
          <w:rFonts w:asciiTheme="majorBidi" w:eastAsia="Arial" w:hAnsiTheme="majorBidi" w:cstheme="majorBidi"/>
          <w:sz w:val="28"/>
          <w:szCs w:val="28"/>
          <w:rtl/>
        </w:rPr>
        <w:t>، يجب على المؤلفين ضمان دقة جميع البيانات المقدَّمة وأمانتها، بما يشمل التحقق من أن البيانات تمثّل نتائج بحثهم تمثيلًا حقيقيًا.</w:t>
      </w:r>
    </w:p>
    <w:p w14:paraId="53822E6A"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علاوة على ذلك، يُطلب من المؤلفين الاحتفاظ بجميع البيانات الأصلية المدرجة في مخطوطاتهم. ويُعدّ هذا الاحتفاظ ضروريًا لشفافية البحث وقابليته للتكرار، وتيسيرًا لعملية تقييم المجلة. وإذا تعذر على المؤلفين تقديم البيانات الأولية عند الطلب، فقد يؤدي ذلك إلى رفض قبول المخطوطة أو سحب العمل المنشور. وتعزز هذه السياسة الالتزام بالحفاظ على معايير أخلاقية عالية في البحث والنشر.</w:t>
      </w:r>
    </w:p>
    <w:p w14:paraId="53822E6B"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EA4846">
        <w:rPr>
          <w:rFonts w:asciiTheme="majorBidi" w:eastAsia="Arial" w:hAnsiTheme="majorBidi" w:cstheme="majorBidi"/>
          <w:b/>
          <w:bCs/>
          <w:sz w:val="28"/>
          <w:szCs w:val="28"/>
          <w:rtl/>
        </w:rPr>
        <w:t>الإرسال أو النشر المزدوج</w:t>
      </w:r>
    </w:p>
    <w:p w14:paraId="53822E6C"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يُطلب من المؤلفين الإفصاح أثناء عملية التقديم عن أن مخطوطتهم ليست قيد النظر للنشر في مكان آخر. ويُعدّ اكتشاف حالة إرسال أو نشر مزدوج عملاً متعمَّدًا في الغالب، بما في ذلك الحالات التي سبق فيها نشر المقالات بلغة أخرى.</w:t>
      </w:r>
    </w:p>
    <w:p w14:paraId="53822E6D"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ووفقًا للإرشادات التي وضعتها اللجنة الدولية لمحرري المجلات الطبية (ICMJE)، يجب على المؤلفين الحصول على إذن من الناشر ومالك حقوق النشر للمقالة الأصلية قبل تقديم نسخة ثانوية منها، كترجمة، أو نشرها.</w:t>
      </w:r>
    </w:p>
    <w:p w14:paraId="53822E6E"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علاوة على ذلك، يتحمل المؤلفون مسؤولية إبلاغ محرر المجلة التي تستلم المخطوطة بأصل المقالة. ومن الضروري أن يُوضَّح للقراء بجلاء أن العمل المقدَّم نسخة مترجمة، وأن يتضمن استشهادًا مناسبًا يشير إلى المصدر الأصلي. وتضمن هذه الممارسة الشفافية، وتحافظ على النزاهة الأكاديمية، وتحترم حقوق المؤلفين والناشرين الأصليين.</w:t>
      </w:r>
    </w:p>
    <w:p w14:paraId="53822E6F"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التمويل</w:t>
      </w:r>
    </w:p>
    <w:p w14:paraId="53822E70"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تُلزِم المجلة المؤلفين بالإفصاح عن جميع مصادر التمويل وأي دعم مالي حصلوا عليه لعملهم. ويشمل ذلك وصفًا تفصيليًا لدور أي جهات راعية في مختلف مراحل عملية البحث، من تصميم الدراسة إلى تقديم المخطوطة للنشر.</w:t>
      </w:r>
    </w:p>
    <w:p w14:paraId="53822E71"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من الضروري تضمين بيان واضح يُحدد ما إذا كانت الجهة (الجهات) الراعية قد شاركت في البحث. وإذا لم تشارك في أي جانب من جوانب الدراسة أو إعداد المخطوطة، فيجب ذكر ذلك صراحةً.</w:t>
      </w:r>
    </w:p>
    <w:p w14:paraId="53822E72"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ينبغي على المؤلفين التأكد من أن المعلومات المقدَّمة دقيقة ومتّسقة مع الإرشادات التي وضعتها الجهات الممولة. ويعزز الإفصاح الدقيق عن مصادر التمويل ومشاركة الجهات الراعية الشفافية والنزاهة داخل المجتمع البحثي.</w:t>
      </w:r>
    </w:p>
    <w:p w14:paraId="53822E73"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الصور والأشكال</w:t>
      </w:r>
    </w:p>
    <w:p w14:paraId="53822E74" w14:textId="6714342A"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لإدراج صور فوتوغرافية أو مقاطع فيديو أو تسجيلات صوتية قد تكشف هوية المرضى أو المشاركين في البحث، من الضروري الحصول على موافقة على النشر من الأفراد المعنيين. ويجب تأمين هذه الموافقة من المشاركين أنفسهم، أو من أقرب أقربائهم في حال الوفاة، أو من الوالدين أو الأوصياء إذا كان المشاركون قاصرين أو من الفئات المصنَّفة على أنها </w:t>
      </w:r>
      <w:r w:rsidR="001D24D5">
        <w:rPr>
          <w:rFonts w:asciiTheme="majorBidi" w:eastAsia="Arial" w:hAnsiTheme="majorBidi" w:cstheme="majorBidi" w:hint="cs"/>
          <w:sz w:val="28"/>
          <w:szCs w:val="28"/>
          <w:rtl/>
          <w:lang w:bidi="ar-IQ"/>
        </w:rPr>
        <w:t>معرضة للخ</w:t>
      </w:r>
      <w:r w:rsidR="00000A10">
        <w:rPr>
          <w:rFonts w:asciiTheme="majorBidi" w:eastAsia="Arial" w:hAnsiTheme="majorBidi" w:cstheme="majorBidi" w:hint="cs"/>
          <w:sz w:val="28"/>
          <w:szCs w:val="28"/>
          <w:rtl/>
          <w:lang w:bidi="ar-IQ"/>
        </w:rPr>
        <w:t>طر</w:t>
      </w:r>
      <w:r w:rsidRPr="004A16F5">
        <w:rPr>
          <w:rFonts w:asciiTheme="majorBidi" w:eastAsia="Arial" w:hAnsiTheme="majorBidi" w:cstheme="majorBidi"/>
          <w:sz w:val="28"/>
          <w:szCs w:val="28"/>
          <w:rtl/>
        </w:rPr>
        <w:t>. ويجب على المؤلفين مراعاة الحساسيات الثقافية المتعلقة بإدراج الصور الفوتوغرافية للأشخاص في مخطوطاتهم. وفي بعض السياقات الثقافية، قد يكون تصوير رفات الموتى أو الأشخاص المتوفين مقيَّدًا. لذا، من الضروري الالتزام بالبروتوكولات الأخلاقية من خلال مراعاة وجهات نظر المجتمعات المعنية وعمليات موافقتها.</w:t>
      </w:r>
    </w:p>
    <w:p w14:paraId="53822E75"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عند استخدام الصور التجريبية، لا سيما تلك المستمدة من المجهر، ينبغي للمؤلفين السعي إلى تمثيل الصورة الأصلية تمثيلًا دقيقًا. وإذا أُجريت أي تعديلات أو تحسينات على الصور، يجب تقديم شرح مفصّل في متن المخطوطة وتعليق الشكل لتجنب تضليل القراء بشأن المحتوى المصوَّر. وينبغي للمؤلفين تزويد مكتب التحرير بالصور الأصلية غير المعدَّلة وغير المشروحة وغير المعالَجة عند الطلب. وينبغي أن تكون أي تعديلات على الصور محدودة النطاق ومطبَّقة بشكل موحّد على الصورة بأكملها. ويُطلب من المؤلفين تقديم معلومات شاملة حول أساليب الحصول على الصور، وأي تعديلات أُجريت، بما في ذلك البرمجيات المستخدمة تحديدًا وإصدارها. ويُحظر تمامًا إجراء أي تعديلات قد تغيّر التفسير العلمي للصورة.</w:t>
      </w:r>
    </w:p>
    <w:p w14:paraId="53822E7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عند استخدام صور أو أشكال من مواد سبق نشرها، يجب على المؤلفين الحصول على إذن مناسب من مالك حقوق النشر لإعادة استخدامها. ويجب تضمين بيان يؤكد هذا الإذن في تعليق الشكل. كما يُشترط </w:t>
      </w:r>
      <w:r w:rsidRPr="004A16F5">
        <w:rPr>
          <w:rFonts w:asciiTheme="majorBidi" w:eastAsia="Arial" w:hAnsiTheme="majorBidi" w:cstheme="majorBidi"/>
          <w:sz w:val="28"/>
          <w:szCs w:val="28"/>
          <w:rtl/>
        </w:rPr>
        <w:lastRenderedPageBreak/>
        <w:t>الاستشهاد المناسب بالمصدر الأصلي للصورة، سواء كانت محمية بحقوق نشر أو متاحة لإعادة الاستخدام بموجب رخصة مناسبة.</w:t>
      </w:r>
    </w:p>
    <w:p w14:paraId="53822E77"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سوء السلوك</w:t>
      </w:r>
    </w:p>
    <w:p w14:paraId="53822E78" w14:textId="4B2808A5"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تعتبر المجلة جميع أشكال سوء السلوك انتهاكات خطيرة، وهي ملتزمة بالحفاظ على </w:t>
      </w:r>
      <w:r w:rsidR="00441159">
        <w:rPr>
          <w:rFonts w:asciiTheme="majorBidi" w:eastAsia="Arial" w:hAnsiTheme="majorBidi" w:cstheme="majorBidi" w:hint="cs"/>
          <w:sz w:val="28"/>
          <w:szCs w:val="28"/>
          <w:rtl/>
        </w:rPr>
        <w:t>نزاهة</w:t>
      </w:r>
      <w:r w:rsidRPr="004A16F5">
        <w:rPr>
          <w:rFonts w:asciiTheme="majorBidi" w:eastAsia="Arial" w:hAnsiTheme="majorBidi" w:cstheme="majorBidi"/>
          <w:sz w:val="28"/>
          <w:szCs w:val="28"/>
          <w:rtl/>
        </w:rPr>
        <w:t xml:space="preserve"> السجل العلمي. وتماشيًا مع الإرشادات التي وضعتها لجنة أخلاقيات النشر (COPE)، ستتخذ المجلة جميع الإجراءات اللازمة لمعالجة أي حالات سوء سلوك وحلّها. ويشمل ذلك التحقيق الدقيق في الادعاءات وتنفيذ التدابير المناسبة للحفاظ على المعايير الأخلاقية في البحث والنشر. وتُعدّ الشفافية والمساءلة أمرًا بالغ الأهمية لتعزيز الثقة داخل المجتمع الأكاديمي.</w:t>
      </w:r>
    </w:p>
    <w:p w14:paraId="53822E79"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من أمثلة سوء السلوك (على سبيل المثال لا الحصر):</w:t>
      </w:r>
    </w:p>
    <w:p w14:paraId="53822E7A"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التمثيل الخاطئ للانتماء المؤسسي</w:t>
      </w:r>
    </w:p>
    <w:p w14:paraId="53822E7B"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خرق حقوق النشر / استخدام مواد الطرف الثالث دون الأذونات المناسبة</w:t>
      </w:r>
    </w:p>
    <w:p w14:paraId="53822E7C"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التلاعب بالاستشهادات</w:t>
      </w:r>
    </w:p>
    <w:p w14:paraId="53822E7D"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الإرسال أو النشر المزدوج</w:t>
      </w:r>
    </w:p>
    <w:p w14:paraId="53822E7E"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"إغراق الأخلاقيات" (Ethics dumping)</w:t>
      </w:r>
    </w:p>
    <w:p w14:paraId="53822E7F"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التلاعب بالصور أو البيانات أو تلفيقها</w:t>
      </w:r>
    </w:p>
    <w:p w14:paraId="53822E80"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التلاعب بعملية التحكيم العلمي</w:t>
      </w:r>
    </w:p>
    <w:p w14:paraId="53822E81"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الانتحال</w:t>
      </w:r>
    </w:p>
    <w:p w14:paraId="53822E82"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إعادة تدوير النص / الانتحال الذاتي</w:t>
      </w:r>
    </w:p>
    <w:p w14:paraId="53822E83"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تضارب مصالح غير مُفصح عنه</w:t>
      </w:r>
    </w:p>
    <w:p w14:paraId="53822E84"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البحث غير الأخلاقي</w:t>
      </w:r>
    </w:p>
    <w:p w14:paraId="53822E85"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الإرسال المزدوج</w:t>
      </w:r>
    </w:p>
    <w:p w14:paraId="53822E8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المخطوطات التي يُكتشف أنها نُشرت سابقًا أو أنها قيد المراجعة حاليًا في مكان آخر ستواجه عقوبات متعلقة بالإرسال أو النشر المزدوج. وإذا رغب المؤلفون في تضمين عملهم المنشور سابقًا أو أعمال قيد المراجعة ضمن ورقة مقدَّمة، فيتعين عليهم الإقرار بتلك الأعمال والاستشهاد بها على النحو المناسب.</w:t>
      </w:r>
    </w:p>
    <w:p w14:paraId="53822E87"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علاوة على ذلك، يجب على المؤلفين توضيح الإسهامات الفريدة لمخطوطتهم المقدَّمة بشكل صريح، مبيّنين كيف تتجاوز نتائج العمل السابق. ويُعدّ هذا التوضيح ضروريًا لإثبات جدة الإرسال الجديد وأهميته، وللحفاظ على معايير الأصالة والسلوك الأخلاقي في النشر العلمي.</w:t>
      </w:r>
    </w:p>
    <w:p w14:paraId="53822E88"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التلاعب بالاستشهادات</w:t>
      </w:r>
    </w:p>
    <w:p w14:paraId="53822E89" w14:textId="79167C02"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المخطوطات التي يتبيّن أنها تتضمن استشهادات تهدف بشكل أساسي إلى تضخيم عدد الاستشهادات بعمل مؤلف أو بأوراق منشورة في مجلة معينة ستواجه عقوبات بسبب التلاعب بالاستشهادات. فمثل هذه الأفعال تُقوّض </w:t>
      </w:r>
      <w:r w:rsidR="00D5518B">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عملية النشر الأكاديمي وتشوّه الأثر الحقيقي للبحث العلمي. وتلتزم المجلة بضمان ممارسات استشهاد أخلاقية، وستتخذ الإجراءات المناسبة ضد المؤلفين الذين يمارسون هذا النوع من سوء السلوك، بما يشمل احتمال رفض المخطوطة وإبلاغ الجهات الأكاديمية والأخلاقية ذات الصلة.</w:t>
      </w:r>
    </w:p>
    <w:p w14:paraId="53822E8A"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تلفيق البيانات وتزييفها</w:t>
      </w:r>
    </w:p>
    <w:p w14:paraId="53822E8B" w14:textId="20433F8B"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المخطوطات التي يتبيّن أنها تتضمن نتائج تجريبية ملفَّقة أو مزيَّفة، بما في ذلك التعديل على الصور الفوتوغرافية، ستواجه عقوبات صارمة بسبب تلفيق البيانات وتزييفها. فمثل هذه الممارسات غير الأخلاقية تقوّض مصداقية البحث العلمي وتنتهك مبادئ النزاهة والأمانة الضرورية في النشر الأكاديمي. وتلتزم المجلة بالتحقيق الصارم في أي ادعاءات بسوء السلوك، وستتخذ الإجراءات المناسبة، التي قد تشمل رفض المخطوطة أو سحب العمل المنشور، وإبلاغ الجهات العلمية والأخلاقية ذات الصلة. </w:t>
      </w:r>
      <w:r w:rsidR="00F371F8">
        <w:rPr>
          <w:rFonts w:asciiTheme="majorBidi" w:eastAsia="Arial" w:hAnsiTheme="majorBidi" w:cstheme="majorBidi" w:hint="cs"/>
          <w:sz w:val="28"/>
          <w:szCs w:val="28"/>
          <w:rtl/>
        </w:rPr>
        <w:t xml:space="preserve">ان </w:t>
      </w:r>
      <w:r w:rsidRPr="004A16F5">
        <w:rPr>
          <w:rFonts w:asciiTheme="majorBidi" w:eastAsia="Arial" w:hAnsiTheme="majorBidi" w:cstheme="majorBidi"/>
          <w:sz w:val="28"/>
          <w:szCs w:val="28"/>
          <w:rtl/>
        </w:rPr>
        <w:t>الحفاظ على سلامة السجل العلمي أمر بالغ الأهمية.</w:t>
      </w:r>
    </w:p>
    <w:p w14:paraId="53822E8C"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الإسهام أو النسبة غير الصحيحة للمؤلفين</w:t>
      </w:r>
    </w:p>
    <w:p w14:paraId="53822E8D" w14:textId="6333F0CF"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من الضروري أن يكون جميع المؤلفين المدرجين في المنشور قد قدّموا إسهامات علمية جوهرية، وأن يكونوا قد وافقوا على جميع الادعاءات الواردة في الوثيقة. ولضمان الاعتراف الكامل بالإسهامات الرئيسية، من المهم إدراج جميع الأفراد المشاركين في عملية البحث، مثل الطلاب والعاملين في المختبرات، ممن كان لهم دور مهم في الدراسة. وتعزز هذه الممارسة الشفافية وتساعد على الحفاظ على المعايير الأخلاقية للتأليف في النشر الأكاديمي. ويضمن الاعتراف السليم بجميع المساهمين تقدير جهود الجميع والحفاظ على </w:t>
      </w:r>
      <w:r w:rsidR="00C32437">
        <w:rPr>
          <w:rFonts w:asciiTheme="majorBidi" w:eastAsia="Arial" w:hAnsiTheme="majorBidi" w:cstheme="majorBidi" w:hint="cs"/>
          <w:sz w:val="28"/>
          <w:szCs w:val="28"/>
          <w:rtl/>
        </w:rPr>
        <w:t>نزاهة العمل</w:t>
      </w:r>
      <w:r w:rsidRPr="004A16F5">
        <w:rPr>
          <w:rFonts w:asciiTheme="majorBidi" w:eastAsia="Arial" w:hAnsiTheme="majorBidi" w:cstheme="majorBidi"/>
          <w:sz w:val="28"/>
          <w:szCs w:val="28"/>
          <w:rtl/>
        </w:rPr>
        <w:t xml:space="preserve"> المنشور.</w:t>
      </w:r>
    </w:p>
    <w:p w14:paraId="53822E8E"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المنشورات المتكررة</w:t>
      </w:r>
    </w:p>
    <w:p w14:paraId="53822E8F"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تتضمن المنشورات المتكررة تقسيم نتائج الدراسة تقسيمًا غير مبرَّر إلى عدة مقالات.</w:t>
      </w:r>
    </w:p>
    <w:p w14:paraId="53822E90"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التلاعب بالصور</w:t>
      </w:r>
    </w:p>
    <w:p w14:paraId="53822E91" w14:textId="4801C14A"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lastRenderedPageBreak/>
        <w:t xml:space="preserve">يشمل سوء السلوك أي أفعال تنتهك السياسات التحريرية أو إرشادات المجلة أو أخلاقيات النشر أو أي قواعد ذات صلة وضعتها منظمات مثل لجنة أخلاقيات النشر (COPE)، والرابطة العالمية لمحرري الطب (WAME)، واللجنة الدولية لمحرري المجلات الطبية (ICMJE)، والرابطة الدولية للناشرين العلميين والتقنيين والطبيين (STM). كما يمكن تصنيف أي أنشطة تهدد أو تُقوّض </w:t>
      </w:r>
      <w:r w:rsidR="00B22A43">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عملية البحث والنشر ضمن سوء السلوك المحتمل. وستُحقَّق الادعاءات بارتكاب مخالفات تحقيقًا شاملًا وفقًا للبروتوكولات المعتمدة، والتي ستلتزم بالإرشادات التي وضعتها COPE لضمان عملية عادلة وشفافة في معالجة ادعاءات سوء السلوك. وتلتزم المجلة بالحفاظ على أعلى المعايير الأخلاقية في النشر العلمي، وستتخذ الإجراءات المناسبة استجابةً للحالات المؤكدة من سوء السلوك لحماية سلامة السجل الأكاديمي.</w:t>
      </w:r>
    </w:p>
    <w:p w14:paraId="53822E92"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أخلاقيات النشر</w:t>
      </w:r>
    </w:p>
    <w:p w14:paraId="53822E93"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تلتزم المجلة وهيأة تحريرها التزامًا كاملًا بسياسات ومبادئ لجنة أخلاقيات النشر (COPE).</w:t>
      </w:r>
    </w:p>
    <w:p w14:paraId="53822E94" w14:textId="77777777" w:rsidR="004B1E62" w:rsidRPr="004A16F5" w:rsidRDefault="00072D2B" w:rsidP="006F5137">
      <w:pPr>
        <w:pStyle w:val="Heading2"/>
        <w:bidi/>
        <w:spacing w:before="200" w:after="10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واجبات المحررين</w:t>
      </w:r>
    </w:p>
    <w:p w14:paraId="53822E95"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قرارات النشر</w:t>
      </w:r>
    </w:p>
    <w:p w14:paraId="53822E96" w14:textId="03C99D90"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تقع مسؤولية تحديد الأوراق التي ستُنشر في المجلة على عاتق هيأة التحرير. وتتضمن عملية اتخاذ القرار من قبل الهيأة دراسة متأنية لتوصيات المحكّمين والتشاور معهم، إلى جانب الالتزام بالمتطلبات القانونية المتعلقة بالتشهير وحقوق النشر والانتحال. ومن المهم الإشارة إلى أن أصل المخطوطة - بما في ذلك جنسية المؤلفين أو أصلهم العرقي أو آرائهم السياسية أو عرقهم أو دينهم - لا يؤثر في القرارات التحريرية. وتلتزم هيأة التحرير باتخاذ قراراتها استنادًا حصرًا إلى جودة البحث المقدَّم في المخطوطات وأصالته وأهميته، بما يضمن عملية مراجعة عادلة ونزيهة تحافظ على </w:t>
      </w:r>
      <w:r w:rsidR="00284677">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النشر الأكاديمي.</w:t>
      </w:r>
    </w:p>
    <w:p w14:paraId="53822E97"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السرية والإفصاح وتضارب المصالح</w:t>
      </w:r>
    </w:p>
    <w:p w14:paraId="53822E98" w14:textId="2BB46170"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أثناء عملية مراجعة المقالة، من الضروري أن يلتزم المحررون بالسرية الصارمة، بعدم الإفصاح عن أي معلومات متعلقة بالمخطوطة المقدَّمة، باستثناء المؤلف المراسل والمحكّمين والمحكّمين المحتملين والمستشارين التحريريين الآخرين. وتُعدّ هذه السرية ضرورية للحفاظ على </w:t>
      </w:r>
      <w:r w:rsidR="002361C8">
        <w:rPr>
          <w:rFonts w:asciiTheme="majorBidi" w:eastAsia="Arial" w:hAnsiTheme="majorBidi" w:cstheme="majorBidi" w:hint="cs"/>
          <w:sz w:val="28"/>
          <w:szCs w:val="28"/>
          <w:rtl/>
        </w:rPr>
        <w:t xml:space="preserve">نزاهة </w:t>
      </w:r>
      <w:r w:rsidRPr="004A16F5">
        <w:rPr>
          <w:rFonts w:asciiTheme="majorBidi" w:eastAsia="Arial" w:hAnsiTheme="majorBidi" w:cstheme="majorBidi"/>
          <w:sz w:val="28"/>
          <w:szCs w:val="28"/>
          <w:rtl/>
        </w:rPr>
        <w:t xml:space="preserve">عملية المراجعة. علاوة على ذلك، يجب على المحرر أو المحكّم أو أي قارئ آخر أن يمتنع عن استخدام أي مواد غير منشورة معروضة في مخطوطة مقدَّمة، ما لم يُحصل على إذن كتابي صريح من المؤلف. وتساعد هذه السياسة على حماية الملكية الفكرية وحقوق المؤلفين. علاوة على ذلك، من الضروري تزويد القراء بمعلومات تفصيلية عن مصادر تمويل البحث أو العمل العلمي، بما يشمل الإفصاح عن أي مشاركة </w:t>
      </w:r>
      <w:r w:rsidRPr="004A16F5">
        <w:rPr>
          <w:rFonts w:asciiTheme="majorBidi" w:eastAsia="Arial" w:hAnsiTheme="majorBidi" w:cstheme="majorBidi"/>
          <w:sz w:val="28"/>
          <w:szCs w:val="28"/>
          <w:rtl/>
        </w:rPr>
        <w:lastRenderedPageBreak/>
        <w:t>محتملة للجهات الممولة في عملية الدراسة والنشر، إذ تُعدّ الشفافية بشأن التمويل أساسية للحفاظ على الثقة والمساءلة داخل المجتمع البحثي.</w:t>
      </w:r>
    </w:p>
    <w:p w14:paraId="53822E99"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العلاقات مع المؤلفين</w:t>
      </w:r>
    </w:p>
    <w:p w14:paraId="53822E9A"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يسعى المحررون إلى ضمان اتسام عملية التحكيم العلمي في المجلة بالإنصاف والحياد وحسن التوقيت. ولتعزيز مراجعة غير متحيّزة، وضعت المجلة بروتوكولات خاصة لإدارة المخطوطات المقدَّمة من أعضاء هيأة التحرير، بما يضمن خضوع هذه المخطوطات لعملية مراجعة عادلة وموضوعية منفصلة عن غيرها من المخطوطات. علاوة على ذلك، توفّر الإرشادات الواردة في تعليمات المؤلفين توجيهًا واضحًا بشأن المعايير التي تحدد التأليف. وقد صُممت هذه الإرشادات لضمان الاعتراف السليم بالأفراد المستوفين للمعايير اللازمة للتأليف، مما يعزز مبادئ الشفافية والمساءلة في النشر الأكاديمي. وتلتزم المجلة بالحفاظ على معايير عالية طوال عمليتي المراجعة والنشر.</w:t>
      </w:r>
    </w:p>
    <w:p w14:paraId="53822E9B"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العلاقات مع المحكّمين</w:t>
      </w:r>
    </w:p>
    <w:p w14:paraId="53822E9C"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تشجّع المجلة المحكّمين بقوة على تقديم ملاحظات بشأن أي مخاوف أخلاقية أو سوء سلوك محتمل قد ينشأ عن المخطوطات المقدَّمة. ويشمل ذلك تحديد مسائل مثل التصميم البحثي غير الأخلاقي، والتلاعب غير الملائم بالبيانات، والنشر المتكرر، والانتحال. ويؤدي المحكّمون دورًا حيويًا في الحفاظ على سلامة عملية البحث، وتُعدّ يقظتهم ضرورية للحفاظ على معايير أخلاقية عالية.</w:t>
      </w:r>
    </w:p>
    <w:p w14:paraId="53822E9D" w14:textId="2D737B50"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تُبلَّغ تعليقات المحكّمين الكاملة عادةً إلى المؤلفين، ما لم تتضمن عبارات مسيئة أو تشهيرية. وتعزز هذه الممارسة الشفافية والملاحظات البنّاءة، مما يسهّل تحسين </w:t>
      </w:r>
      <w:r w:rsidR="00B268C7">
        <w:rPr>
          <w:rFonts w:asciiTheme="majorBidi" w:eastAsia="Arial" w:hAnsiTheme="majorBidi" w:cstheme="majorBidi" w:hint="cs"/>
          <w:sz w:val="28"/>
          <w:szCs w:val="28"/>
          <w:rtl/>
        </w:rPr>
        <w:t xml:space="preserve">مستوى </w:t>
      </w:r>
      <w:r w:rsidRPr="004A16F5">
        <w:rPr>
          <w:rFonts w:asciiTheme="majorBidi" w:eastAsia="Arial" w:hAnsiTheme="majorBidi" w:cstheme="majorBidi"/>
          <w:sz w:val="28"/>
          <w:szCs w:val="28"/>
          <w:rtl/>
        </w:rPr>
        <w:t>المخطوطات.</w:t>
      </w:r>
    </w:p>
    <w:p w14:paraId="53822E9E"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تلتزم المجلة بالاعتراف بالإسهامات القيّمة للمحكّمين، وستوقف الاستعانة بالمحكّمين الذين يقدّمون باستمرار تقييمات غير مهذَّبة أو رديئة الجودة أو مقدَّمة بعد الموعد النهائي المحدد. وتساعد هذه السياسة على ضمان بقاء عملية التحكيم العلمي محترمة وفعّالة، بما يعزز التزام المجلة بالنزاهة الأكاديمية والتميّز العلمي.</w:t>
      </w:r>
    </w:p>
    <w:p w14:paraId="53822E9F" w14:textId="77777777" w:rsidR="004B1E62" w:rsidRPr="004A16F5" w:rsidRDefault="00072D2B" w:rsidP="006F5137">
      <w:pPr>
        <w:bidi/>
        <w:spacing w:before="160" w:after="80" w:line="360" w:lineRule="auto"/>
        <w:rPr>
          <w:rFonts w:asciiTheme="majorBidi" w:hAnsiTheme="majorBidi" w:cstheme="majorBidi"/>
          <w:sz w:val="28"/>
          <w:szCs w:val="28"/>
        </w:rPr>
      </w:pPr>
      <w:r w:rsidRPr="00E662AE">
        <w:rPr>
          <w:rFonts w:asciiTheme="majorBidi" w:eastAsia="Arial" w:hAnsiTheme="majorBidi" w:cstheme="majorBidi"/>
          <w:b/>
          <w:bCs/>
          <w:i/>
          <w:iCs/>
          <w:sz w:val="28"/>
          <w:szCs w:val="28"/>
          <w:rtl/>
        </w:rPr>
        <w:t>ضمان الجودة</w:t>
      </w:r>
    </w:p>
    <w:p w14:paraId="53822EA0"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من الضروري أن يتخذ المحررون التدابير المناسبة للحفاظ على جودة المحتوى الذي ينشرونه، مع إدراك أن الأقسام المختلفة للمجلة قد تكون لها أهداف ومعايير متمايزة. ويجب على المحررين التأكد من حصول أي دراسة منشورة على موافقة من جهة إشراف مختصة، كلجنة أخلاقيات البحث أو مجلس المراجعة المؤسسي، عند الاقتضاء. كما ينبغي للمحررين أن يظلوا يقظين تجاه أي انتهاكات محتملة للملكية الفكرية والمعايير القانونية والأخلاقية، والعمل عن كثب مع ناشريهم لمعالجتها بفاعلية. ومن الضروري أيضًا </w:t>
      </w:r>
      <w:r w:rsidRPr="004A16F5">
        <w:rPr>
          <w:rFonts w:asciiTheme="majorBidi" w:eastAsia="Arial" w:hAnsiTheme="majorBidi" w:cstheme="majorBidi"/>
          <w:sz w:val="28"/>
          <w:szCs w:val="28"/>
          <w:rtl/>
        </w:rPr>
        <w:lastRenderedPageBreak/>
        <w:t>للمحررين تصحيح أي أخطاء أو مخالفات أو بيانات مضلِّلة في الأعمال المنشورة على الفور، والتأكد من إبراز هذه التصويبات بشكل مناسب. ويُعدّ هذا الالتزام بالدقة والمعايير الأخلاقية أمرًا بالغ الأهمية للحفاظ على سلامة المجلة وتعزيز الثقة داخل المجتمع الأكاديمي.</w:t>
      </w:r>
    </w:p>
    <w:p w14:paraId="53822EA1" w14:textId="77777777" w:rsidR="004B1E62" w:rsidRPr="004A16F5" w:rsidRDefault="00072D2B" w:rsidP="006F5137">
      <w:pPr>
        <w:pStyle w:val="Heading2"/>
        <w:bidi/>
        <w:spacing w:before="200" w:after="10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واجبات المحكّمين</w:t>
      </w:r>
    </w:p>
    <w:p w14:paraId="53822EA2"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الإسهام في القرارات التحريرية</w:t>
      </w:r>
    </w:p>
    <w:p w14:paraId="53822EA3" w14:textId="29B24B6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يؤدي المحكّمون دورًا حاسمًا في مساعدة هيأة التحرير على اتخاذ قرارات تحريرية مستنيرة. وينبغي أن تلتزم عملية </w:t>
      </w:r>
      <w:r w:rsidR="006656FD">
        <w:rPr>
          <w:rFonts w:asciiTheme="majorBidi" w:eastAsia="Arial" w:hAnsiTheme="majorBidi" w:cstheme="majorBidi" w:hint="cs"/>
          <w:sz w:val="28"/>
          <w:szCs w:val="28"/>
          <w:rtl/>
        </w:rPr>
        <w:t xml:space="preserve">التحكيم </w:t>
      </w:r>
      <w:r w:rsidRPr="004A16F5">
        <w:rPr>
          <w:rFonts w:asciiTheme="majorBidi" w:eastAsia="Arial" w:hAnsiTheme="majorBidi" w:cstheme="majorBidi"/>
          <w:sz w:val="28"/>
          <w:szCs w:val="28"/>
          <w:rtl/>
        </w:rPr>
        <w:t xml:space="preserve">بمبادئ الموضوعية، بما يضمن التعبير عن الملاحظات بوضوح ودعمها بحجج منطقية سليمة. ويتيح هذا النهج البنّاء للمؤلفين الاستفادة من الملاحظات لتحسين جودة مقالاتهم </w:t>
      </w:r>
      <w:r w:rsidR="001410ED">
        <w:rPr>
          <w:rFonts w:asciiTheme="majorBidi" w:eastAsia="Arial" w:hAnsiTheme="majorBidi" w:cstheme="majorBidi" w:hint="cs"/>
          <w:sz w:val="28"/>
          <w:szCs w:val="28"/>
          <w:rtl/>
        </w:rPr>
        <w:t>بشكل فعال</w:t>
      </w:r>
      <w:r w:rsidRPr="004A16F5">
        <w:rPr>
          <w:rFonts w:asciiTheme="majorBidi" w:eastAsia="Arial" w:hAnsiTheme="majorBidi" w:cstheme="majorBidi"/>
          <w:sz w:val="28"/>
          <w:szCs w:val="28"/>
          <w:rtl/>
        </w:rPr>
        <w:t>.</w:t>
      </w:r>
    </w:p>
    <w:p w14:paraId="53822EA4"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يُعدّ النقد الشخصي للمؤلف أمرًا غير مقبول ومتعارضًا مع روح التحكيم العلمي. ويُتوقَّع من المحكّمين التركيز على محتوى المخطوطة وجودتها بدلًا من إصدار أحكام شخصية على المؤلفين أنفسهم. ويُعدّ هذا الالتزام بالإنصاف والمهنية أساسيًا لتعزيز حوار محترم وبنّاء بين المحكّمين والمؤلفين، بما يسهم في نهاية المطاف في تحسين عملية النشر العلمي.</w:t>
      </w:r>
    </w:p>
    <w:p w14:paraId="53822EA5"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مؤهلات المحكّمين</w:t>
      </w:r>
    </w:p>
    <w:p w14:paraId="53822EA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إذا رأى محكّم تم اختياره أنه غير مؤهل بشكل كافٍ لتقييم البحث المعروض في مخطوطة مقدَّمة، أو توقّع عدم قدرته على إجراء مراجعة في الوقت المناسب، فيُتوقَّع منه إبلاغ المحرر والانسحاب من عملية المراجعة. ويساعد هذا التواصل الاستباقي على الحفاظ على سلامة نظام التحكيم العلمي وكفاءته. علاوة على ذلك، من الضروري أن يمتنع المحكّمون عن تقييم المخطوطات التي تربطهم بها تضاربات مصالح. ويشمل ذلك أي مصالح متنافسة، أو علاقات تعاون، أو انتماءات أخرى مع المؤلفين أو الشركات أو المؤسسات المرتبطة بالمقالات المعنية. وبتجنب تضارب المصالح، يمكن للمحكّمين ضمان بقاء تقييماتهم موضوعية وعادلة، بما يحافظ على معايير النزاهة العلمية في عملية المراجعة.</w:t>
      </w:r>
    </w:p>
    <w:p w14:paraId="53822EA7"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السرية</w:t>
      </w:r>
    </w:p>
    <w:p w14:paraId="53822EA8"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يجب معاملة جميع المخطوطات المقدَّمة للتقييم بوصفها مواد سرية. ومن الضروري الحفاظ على سرية المعلومات والأفكار الحصرية التي يتم الاطلاع عليها من خلال عملية التحكيم العلمي، ويجب على المحكّمين والمحررين والأطراف المشاركة الامتناع عن استخدام هذه المعلومات لتحقيق مكاسب شخصية. ويُعدّ الحفاظ على السرية أمرًا أساسيًا لحماية الملكية الفكرية للمؤلفين وللحفاظ على سلامة </w:t>
      </w:r>
      <w:r w:rsidRPr="004A16F5">
        <w:rPr>
          <w:rFonts w:asciiTheme="majorBidi" w:eastAsia="Arial" w:hAnsiTheme="majorBidi" w:cstheme="majorBidi"/>
          <w:sz w:val="28"/>
          <w:szCs w:val="28"/>
          <w:rtl/>
        </w:rPr>
        <w:lastRenderedPageBreak/>
        <w:t>عملية النشر العلمي. ويعزز هذا الالتزام بالسرية الثقة بين المؤلفين والمحكّمين والمحررين، ويضمن بيئة مراجعة أخلاقية ومحترمة.</w:t>
      </w:r>
    </w:p>
    <w:p w14:paraId="53822EA9"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الإقرار بالمصادر</w:t>
      </w:r>
    </w:p>
    <w:p w14:paraId="53822EAA"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يتحمل المحكّمون مسؤولية مهمة تتمثل في تحديد الأدبيات العلمية ذات الصلة التي قد يكون المؤلفون قد أغفلوها في مخطوطتهم. ويُعدّ تقديم الاستشهادات المناسبة عند الإشارة إلى مفاهيم أو أفكار من أفراد آخرين أمرًا ضروريًا للحفاظ على النزاهة الأكاديمية وإعطاء الفضل المستحق.</w:t>
      </w:r>
    </w:p>
    <w:p w14:paraId="53822EAB"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علاوة على ذلك، من الضروري أن يُبلغ المحكّمون المحرر عن أي تشابه أو تكرار جوهري بين المخطوطة قيد التقييم وأي عمل آخر سبق نشره ويكونون على علم به. وتساعد هذه اليقظة على منع مشكلات الانتحال وتضمن الحفاظ على معايير أخلاقية عالية في عملية النشر. وتسهم هذه الممارسات معًا في عملية مراجعة شاملة ومسؤولة، تعزز في النهاية جودة النشر العلمي ومصداقيته.</w:t>
      </w:r>
    </w:p>
    <w:p w14:paraId="53822EAC" w14:textId="77777777" w:rsidR="004B1E62" w:rsidRPr="004A16F5" w:rsidRDefault="00072D2B" w:rsidP="006F5137">
      <w:pPr>
        <w:pStyle w:val="Heading2"/>
        <w:bidi/>
        <w:spacing w:before="200" w:after="10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واجبات المؤلفين</w:t>
      </w:r>
    </w:p>
    <w:p w14:paraId="53822EAD" w14:textId="37434B9F"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 xml:space="preserve">معايير </w:t>
      </w:r>
      <w:r w:rsidR="001868DE">
        <w:rPr>
          <w:rFonts w:asciiTheme="majorBidi" w:eastAsia="Arial" w:hAnsiTheme="majorBidi" w:cstheme="majorBidi" w:hint="cs"/>
          <w:b/>
          <w:bCs/>
          <w:i/>
          <w:iCs/>
          <w:sz w:val="28"/>
          <w:szCs w:val="28"/>
          <w:rtl/>
        </w:rPr>
        <w:t xml:space="preserve">الكتابة في البحث العلمي </w:t>
      </w:r>
    </w:p>
    <w:p w14:paraId="53822EAE"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يُتوقَّع من كاتبي التقارير البحثية وصف العمل المُنجَز وصفًا دقيقًا، وتقييم أهميته تقييمًا موضوعيًا. ومن الضروري التأكد من أن العمل يعكس البيانات الأساسية بدقة. ومن المتوقع أن يكون المؤلفون على استعداد لإتاحة البيانات الخام المرتبطة بالورقة العلمية للجمهور، والاحتفاظ بها لمدة سنتين على الأقل بعد النشر. وتُعدّ الادعاءات الكاذبة أو المضلِّلة عمدًا سلوكًا غير مقبول ويُصنَّف كسلوك غير لائق.</w:t>
      </w:r>
    </w:p>
    <w:p w14:paraId="53822EAF"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الأصالة والانتحال والنشر المتزامن</w:t>
      </w:r>
    </w:p>
    <w:p w14:paraId="53822EB0" w14:textId="417089E2"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من الضروري أن يضمن المؤلفون أن عملهم أصيل تمامًا، وأنهم نسبوا بشكل صحيح أي مصطلحات أو أعمال اقتبسوها من غيرهم. ويُعدّ الانتحال بجميع أشكاله سلوكًا مستهجنًا وشكلًا من أشكال السلوك غير الأخلاقي في </w:t>
      </w:r>
      <w:r w:rsidR="007C32E1">
        <w:rPr>
          <w:rFonts w:asciiTheme="majorBidi" w:eastAsia="Arial" w:hAnsiTheme="majorBidi" w:cstheme="majorBidi" w:hint="cs"/>
          <w:sz w:val="28"/>
          <w:szCs w:val="28"/>
          <w:rtl/>
        </w:rPr>
        <w:t xml:space="preserve">قطاع </w:t>
      </w:r>
      <w:r w:rsidRPr="004A16F5">
        <w:rPr>
          <w:rFonts w:asciiTheme="majorBidi" w:eastAsia="Arial" w:hAnsiTheme="majorBidi" w:cstheme="majorBidi"/>
          <w:sz w:val="28"/>
          <w:szCs w:val="28"/>
          <w:rtl/>
        </w:rPr>
        <w:t>النشر</w:t>
      </w:r>
      <w:r w:rsidR="007C32E1">
        <w:rPr>
          <w:rFonts w:asciiTheme="majorBidi" w:eastAsia="Arial" w:hAnsiTheme="majorBidi" w:cstheme="majorBidi" w:hint="cs"/>
          <w:sz w:val="28"/>
          <w:szCs w:val="28"/>
          <w:rtl/>
        </w:rPr>
        <w:t xml:space="preserve"> العلمي </w:t>
      </w:r>
      <w:r w:rsidRPr="004A16F5">
        <w:rPr>
          <w:rFonts w:asciiTheme="majorBidi" w:eastAsia="Arial" w:hAnsiTheme="majorBidi" w:cstheme="majorBidi"/>
          <w:sz w:val="28"/>
          <w:szCs w:val="28"/>
          <w:rtl/>
        </w:rPr>
        <w:t xml:space="preserve">. كما يُعدّ تقديم المخطوطة ذاتها إلى عدة مجلات في الوقت نفسه سلوكًا غير أخلاقي وغير مهني </w:t>
      </w:r>
      <w:r w:rsidR="003C4DB1" w:rsidRPr="004A16F5">
        <w:rPr>
          <w:rFonts w:asciiTheme="majorBidi" w:eastAsia="Arial" w:hAnsiTheme="majorBidi" w:cstheme="majorBidi"/>
          <w:sz w:val="28"/>
          <w:szCs w:val="28"/>
          <w:rtl/>
        </w:rPr>
        <w:t xml:space="preserve">في </w:t>
      </w:r>
      <w:r w:rsidR="003C4DB1">
        <w:rPr>
          <w:rFonts w:asciiTheme="majorBidi" w:eastAsia="Arial" w:hAnsiTheme="majorBidi" w:cstheme="majorBidi" w:hint="cs"/>
          <w:sz w:val="28"/>
          <w:szCs w:val="28"/>
          <w:rtl/>
        </w:rPr>
        <w:t xml:space="preserve">قطاع </w:t>
      </w:r>
      <w:r w:rsidR="003C4DB1" w:rsidRPr="004A16F5">
        <w:rPr>
          <w:rFonts w:asciiTheme="majorBidi" w:eastAsia="Arial" w:hAnsiTheme="majorBidi" w:cstheme="majorBidi"/>
          <w:sz w:val="28"/>
          <w:szCs w:val="28"/>
          <w:rtl/>
        </w:rPr>
        <w:t>النشر</w:t>
      </w:r>
      <w:r w:rsidR="003C4DB1">
        <w:rPr>
          <w:rFonts w:asciiTheme="majorBidi" w:eastAsia="Arial" w:hAnsiTheme="majorBidi" w:cstheme="majorBidi" w:hint="cs"/>
          <w:sz w:val="28"/>
          <w:szCs w:val="28"/>
          <w:rtl/>
        </w:rPr>
        <w:t xml:space="preserve"> العلمي</w:t>
      </w:r>
      <w:r w:rsidRPr="004A16F5">
        <w:rPr>
          <w:rFonts w:asciiTheme="majorBidi" w:eastAsia="Arial" w:hAnsiTheme="majorBidi" w:cstheme="majorBidi"/>
          <w:sz w:val="28"/>
          <w:szCs w:val="28"/>
          <w:rtl/>
        </w:rPr>
        <w:t>.</w:t>
      </w:r>
    </w:p>
    <w:p w14:paraId="53822EB1"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الإفصاح وتضارب المصالح</w:t>
      </w:r>
    </w:p>
    <w:p w14:paraId="53822EB2" w14:textId="026C6601"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ينبغي للمؤلفين الإفصاح الكامل عن أي تضارب مصالح مالي أو </w:t>
      </w:r>
      <w:r w:rsidR="00AC5030">
        <w:rPr>
          <w:rFonts w:asciiTheme="majorBidi" w:eastAsia="Arial" w:hAnsiTheme="majorBidi" w:cstheme="majorBidi" w:hint="cs"/>
          <w:sz w:val="28"/>
          <w:szCs w:val="28"/>
          <w:rtl/>
        </w:rPr>
        <w:t xml:space="preserve">موضوعي </w:t>
      </w:r>
      <w:r w:rsidRPr="004A16F5">
        <w:rPr>
          <w:rFonts w:asciiTheme="majorBidi" w:eastAsia="Arial" w:hAnsiTheme="majorBidi" w:cstheme="majorBidi"/>
          <w:sz w:val="28"/>
          <w:szCs w:val="28"/>
          <w:rtl/>
        </w:rPr>
        <w:t>في منشورهم، إذ قد يؤثر ذلك في نتائج إسهاماتهم أو تفسيرها. ويجب الإفصاح عن كل مصدر تمويل للمشروع.</w:t>
      </w:r>
    </w:p>
    <w:p w14:paraId="53822EB3"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تأليف الورقة البحثية</w:t>
      </w:r>
    </w:p>
    <w:p w14:paraId="53822EB4" w14:textId="3EAD136C" w:rsidR="004B1E62" w:rsidRPr="004A16F5" w:rsidRDefault="00072D2B" w:rsidP="00854F2D">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lastRenderedPageBreak/>
        <w:t xml:space="preserve">يتحمل المؤلف المراسل مسؤولية التأكد من إدراج جميع المؤلفين المشاركين المؤهلين في المخطوطة، وعدم إغفال أي منهم. كما يتحمل المؤلف المراسل مسؤولية التأكد من أن جميع المؤلفين المشاركين قد اطلعوا على المسودة النهائية للعمل، ووافقوا عليها، </w:t>
      </w:r>
      <w:r w:rsidR="00C5747E">
        <w:rPr>
          <w:rFonts w:asciiTheme="majorBidi" w:eastAsia="Arial" w:hAnsiTheme="majorBidi" w:cstheme="majorBidi" w:hint="cs"/>
          <w:sz w:val="28"/>
          <w:szCs w:val="28"/>
          <w:rtl/>
        </w:rPr>
        <w:t>ورض</w:t>
      </w:r>
      <w:r w:rsidR="007F08B6">
        <w:rPr>
          <w:rFonts w:asciiTheme="majorBidi" w:eastAsia="Arial" w:hAnsiTheme="majorBidi" w:cstheme="majorBidi" w:hint="cs"/>
          <w:sz w:val="28"/>
          <w:szCs w:val="28"/>
          <w:rtl/>
        </w:rPr>
        <w:t>و</w:t>
      </w:r>
      <w:r w:rsidR="00C5747E">
        <w:rPr>
          <w:rFonts w:asciiTheme="majorBidi" w:eastAsia="Arial" w:hAnsiTheme="majorBidi" w:cstheme="majorBidi" w:hint="cs"/>
          <w:sz w:val="28"/>
          <w:szCs w:val="28"/>
          <w:rtl/>
        </w:rPr>
        <w:t>ا بأن تنشر</w:t>
      </w:r>
      <w:r w:rsidRPr="004A16F5">
        <w:rPr>
          <w:rFonts w:asciiTheme="majorBidi" w:eastAsia="Arial" w:hAnsiTheme="majorBidi" w:cstheme="majorBidi"/>
          <w:sz w:val="28"/>
          <w:szCs w:val="28"/>
          <w:rtl/>
        </w:rPr>
        <w:t>. ويجب الاعتراف بمن أسهموا إسهامًا جوهريًا وإدراجهم كمؤلفين مشاركين لضمان إدراجهم. ويجب الإقرار بإسهامات من شاركوا فعليًا في جوانب مهمة من مشروع البحث أو إدراجهم.</w:t>
      </w:r>
    </w:p>
    <w:p w14:paraId="53822EB5"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الأخطاء الجوهرية في الأعمال المنشورة</w:t>
      </w:r>
    </w:p>
    <w:p w14:paraId="53822EB6" w14:textId="77777777"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تقع على عاتق المؤلف مسؤولية إبلاغ محرر المجلة فورًا بأي أخطاء أو عدم دقة جوهرية في العمل المنشور، والتعاون مع المحرر على سحب المخطوطة أو تصحيحها.</w:t>
      </w:r>
    </w:p>
    <w:p w14:paraId="53822EB7"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عملية التحكيم العلمي</w:t>
      </w:r>
    </w:p>
    <w:p w14:paraId="4057DD1A" w14:textId="77777777" w:rsidR="00104F5D" w:rsidRPr="00104F5D" w:rsidRDefault="00104F5D" w:rsidP="00104F5D">
      <w:pPr>
        <w:bidi/>
        <w:spacing w:after="160" w:line="360" w:lineRule="auto"/>
        <w:jc w:val="both"/>
        <w:rPr>
          <w:rFonts w:asciiTheme="majorBidi" w:eastAsia="Arial" w:hAnsiTheme="majorBidi" w:cstheme="majorBidi"/>
          <w:sz w:val="28"/>
          <w:szCs w:val="28"/>
        </w:rPr>
      </w:pPr>
      <w:r w:rsidRPr="00104F5D">
        <w:rPr>
          <w:rFonts w:asciiTheme="majorBidi" w:eastAsia="Arial" w:hAnsiTheme="majorBidi" w:cstheme="majorBidi"/>
          <w:sz w:val="28"/>
          <w:szCs w:val="28"/>
          <w:rtl/>
        </w:rPr>
        <w:t>تخضع جميع البحوث المقدَّمة، بما فيها البحوث المقدَّمة للأعداد الخاصة، للتحكيم العلمي المزدوج السري، الذي تُحجب فيه هويات المؤلفين والمحكّمين عن بعضهم بعضاً طوال مدة عملية التحكيم.</w:t>
      </w:r>
    </w:p>
    <w:p w14:paraId="00658269" w14:textId="77777777" w:rsidR="00104F5D" w:rsidRPr="00104F5D" w:rsidRDefault="00104F5D" w:rsidP="00104F5D">
      <w:pPr>
        <w:bidi/>
        <w:spacing w:after="160" w:line="360" w:lineRule="auto"/>
        <w:jc w:val="both"/>
        <w:rPr>
          <w:rFonts w:asciiTheme="majorBidi" w:eastAsia="Arial" w:hAnsiTheme="majorBidi" w:cstheme="majorBidi"/>
          <w:sz w:val="28"/>
          <w:szCs w:val="28"/>
        </w:rPr>
      </w:pPr>
      <w:r w:rsidRPr="00104F5D">
        <w:rPr>
          <w:rFonts w:asciiTheme="majorBidi" w:eastAsia="Arial" w:hAnsiTheme="majorBidi" w:cstheme="majorBidi"/>
          <w:sz w:val="28"/>
          <w:szCs w:val="28"/>
          <w:rtl/>
        </w:rPr>
        <w:t>أما البحوث المقدَّمة من أعضاء هيئة التحرير، بمن فيهم رئيس التحرير، فيتولى إدارتها بصورة مستقلة محررٌ ضيفٌ يُسمّى لهذا الغرض أو عضوٌ أقدم في هيئة التحرير، دون أي مشاركة للمؤلف في عملية التحكيم أو في اتخاذ القرار بشأنها، وتخضع لإجراءات التحكيم المزدوج السري ذاتها المتبعة مع سائر البحوث المقدَّمة.</w:t>
      </w:r>
      <w:r w:rsidRPr="00104F5D">
        <w:rPr>
          <w:rFonts w:asciiTheme="majorBidi" w:eastAsia="Arial" w:hAnsiTheme="majorBidi" w:cstheme="majorBidi"/>
          <w:sz w:val="28"/>
          <w:szCs w:val="28"/>
          <w:rtl/>
        </w:rPr>
        <w:t xml:space="preserve"> </w:t>
      </w:r>
    </w:p>
    <w:p w14:paraId="53822EB9" w14:textId="4000F937" w:rsidR="004B1E62" w:rsidRPr="004A16F5" w:rsidRDefault="00072D2B" w:rsidP="00104F5D">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الانتحال العلمي</w:t>
      </w:r>
    </w:p>
    <w:p w14:paraId="53822EBA" w14:textId="0C6E3A76" w:rsidR="004B1E62" w:rsidRDefault="00072D2B" w:rsidP="006F5137">
      <w:pPr>
        <w:bidi/>
        <w:spacing w:after="160" w:line="360" w:lineRule="auto"/>
        <w:rPr>
          <w:rFonts w:asciiTheme="majorBidi" w:eastAsia="Arial" w:hAnsiTheme="majorBidi" w:cstheme="majorBidi"/>
          <w:sz w:val="28"/>
          <w:szCs w:val="28"/>
          <w:rtl/>
        </w:rPr>
      </w:pPr>
      <w:r w:rsidRPr="004A16F5">
        <w:rPr>
          <w:rFonts w:asciiTheme="majorBidi" w:eastAsia="Arial" w:hAnsiTheme="majorBidi" w:cstheme="majorBidi"/>
          <w:sz w:val="28"/>
          <w:szCs w:val="28"/>
          <w:rtl/>
        </w:rPr>
        <w:t>تتبع المجلة سياسة صارمة لمكافحة الانتحال، تنص صراحةً على أن استخدام أفكار الآخرين أو كلماتهم أو أعمالهم دون نسب</w:t>
      </w:r>
      <w:r w:rsidR="00BA6B40">
        <w:rPr>
          <w:rFonts w:asciiTheme="majorBidi" w:eastAsia="Arial" w:hAnsiTheme="majorBidi" w:cstheme="majorBidi" w:hint="cs"/>
          <w:sz w:val="28"/>
          <w:szCs w:val="28"/>
          <w:rtl/>
        </w:rPr>
        <w:t>ت</w:t>
      </w:r>
      <w:r w:rsidRPr="004A16F5">
        <w:rPr>
          <w:rFonts w:asciiTheme="majorBidi" w:eastAsia="Arial" w:hAnsiTheme="majorBidi" w:cstheme="majorBidi"/>
          <w:sz w:val="28"/>
          <w:szCs w:val="28"/>
          <w:rtl/>
        </w:rPr>
        <w:t xml:space="preserve">ها بشكل مناسب أمر غير مقبول. ولن تُقبل المقالات المقدَّمة التي تتضمن انتحالًا ذاتيًا بنفس اللغة أو بلغة مختلفة، أو منشورات مكررة ومتكررة، أو انتحالًا كليًا أو جزئيًا. ولن يُنظَر إلى </w:t>
      </w:r>
      <w:r w:rsidR="0047773B" w:rsidRPr="004D1EA4">
        <w:rPr>
          <w:rFonts w:asciiTheme="majorBidi" w:eastAsia="Arial" w:hAnsiTheme="majorBidi" w:cstheme="majorBidi"/>
          <w:sz w:val="28"/>
          <w:szCs w:val="28"/>
          <w:rtl/>
        </w:rPr>
        <w:t>نسخة ما قبل النشر</w:t>
      </w:r>
      <w:r w:rsidR="0047773B" w:rsidRPr="004A16F5">
        <w:rPr>
          <w:rFonts w:asciiTheme="majorBidi" w:eastAsia="Arial" w:hAnsiTheme="majorBidi" w:cstheme="majorBidi"/>
          <w:sz w:val="28"/>
          <w:szCs w:val="28"/>
          <w:rtl/>
        </w:rPr>
        <w:t xml:space="preserve"> </w:t>
      </w:r>
      <w:r w:rsidRPr="004A16F5">
        <w:rPr>
          <w:rFonts w:asciiTheme="majorBidi" w:eastAsia="Arial" w:hAnsiTheme="majorBidi" w:cstheme="majorBidi"/>
          <w:sz w:val="28"/>
          <w:szCs w:val="28"/>
          <w:rtl/>
        </w:rPr>
        <w:t>(Preprint) على أنه نشر مكرر. ويُسمح للمؤلف الرئيسي بالتصرف نيابة عن جميع المؤلفين المشاركين، ويتولى ملكية العمل خلال مراحل المراجعة والنشر. وتُفحص جميع المخطوطات المقدَّمة باستخدام أدوات احترافية للكشف عن الانتحال. وتُرفض فورًا المخطوطات المتعلقة بالانتحال التي تحمل مؤشر تشابه غير مقبول.</w:t>
      </w:r>
      <w:r w:rsidR="00257F80">
        <w:rPr>
          <w:rFonts w:asciiTheme="majorBidi" w:eastAsia="Arial" w:hAnsiTheme="majorBidi" w:cstheme="majorBidi"/>
          <w:sz w:val="28"/>
          <w:szCs w:val="28"/>
        </w:rPr>
        <w:br/>
      </w:r>
      <w:r w:rsidR="00257F80" w:rsidRPr="00257F80">
        <w:rPr>
          <w:rFonts w:asciiTheme="majorBidi" w:eastAsia="Arial" w:hAnsiTheme="majorBidi"/>
          <w:sz w:val="28"/>
          <w:szCs w:val="28"/>
          <w:rtl/>
        </w:rPr>
        <w:t xml:space="preserve">تُخضَع جميع البحوث المقدَّمة للفحص عن الانتحال العلمي باستخدام برنامج </w:t>
      </w:r>
      <w:r w:rsidR="00257F80" w:rsidRPr="00257F80">
        <w:rPr>
          <w:rFonts w:asciiTheme="majorBidi" w:eastAsia="Arial" w:hAnsiTheme="majorBidi" w:cstheme="majorBidi"/>
          <w:sz w:val="28"/>
          <w:szCs w:val="28"/>
        </w:rPr>
        <w:t>Turnitin</w:t>
      </w:r>
      <w:r w:rsidR="00257F80" w:rsidRPr="00257F80">
        <w:rPr>
          <w:rFonts w:asciiTheme="majorBidi" w:eastAsia="Arial" w:hAnsiTheme="majorBidi"/>
          <w:sz w:val="28"/>
          <w:szCs w:val="28"/>
          <w:rtl/>
        </w:rPr>
        <w:t xml:space="preserve"> قبل إحالتها إلى التحكيم.</w:t>
      </w:r>
    </w:p>
    <w:p w14:paraId="111088F4" w14:textId="77777777" w:rsidR="0047773B" w:rsidRPr="0047773B" w:rsidRDefault="0047773B" w:rsidP="0047773B">
      <w:pPr>
        <w:pStyle w:val="Heading1"/>
        <w:bidi/>
        <w:spacing w:before="300" w:after="140" w:line="360" w:lineRule="auto"/>
        <w:rPr>
          <w:rFonts w:asciiTheme="majorBidi" w:eastAsia="Arial" w:hAnsiTheme="majorBidi" w:cstheme="majorBidi"/>
          <w:b/>
          <w:bCs/>
          <w:sz w:val="28"/>
          <w:szCs w:val="28"/>
        </w:rPr>
      </w:pPr>
      <w:r w:rsidRPr="0047773B">
        <w:rPr>
          <w:rFonts w:asciiTheme="majorBidi" w:eastAsia="Arial" w:hAnsiTheme="majorBidi" w:cstheme="majorBidi"/>
          <w:b/>
          <w:bCs/>
          <w:sz w:val="28"/>
          <w:szCs w:val="28"/>
          <w:rtl/>
        </w:rPr>
        <w:lastRenderedPageBreak/>
        <w:t>سياسة نسخة ما قبل النشر</w:t>
      </w:r>
    </w:p>
    <w:p w14:paraId="53822EBC" w14:textId="18E94E2B" w:rsidR="004B1E62" w:rsidRPr="004A16F5" w:rsidRDefault="00072D2B" w:rsidP="006F5137">
      <w:pPr>
        <w:bidi/>
        <w:spacing w:after="160" w:line="360" w:lineRule="auto"/>
        <w:rPr>
          <w:rFonts w:asciiTheme="majorBidi" w:hAnsiTheme="majorBidi" w:cstheme="majorBidi"/>
          <w:sz w:val="28"/>
          <w:szCs w:val="28"/>
        </w:rPr>
      </w:pPr>
      <w:r w:rsidRPr="004A16F5">
        <w:rPr>
          <w:rFonts w:asciiTheme="majorBidi" w:eastAsia="Arial" w:hAnsiTheme="majorBidi" w:cstheme="majorBidi"/>
          <w:sz w:val="28"/>
          <w:szCs w:val="28"/>
          <w:rtl/>
        </w:rPr>
        <w:t xml:space="preserve">يمكن للمؤلفين مشاركة </w:t>
      </w:r>
      <w:r w:rsidR="008D6ACF">
        <w:rPr>
          <w:rFonts w:asciiTheme="majorBidi" w:eastAsia="Arial" w:hAnsiTheme="majorBidi" w:cstheme="majorBidi" w:hint="cs"/>
          <w:sz w:val="28"/>
          <w:szCs w:val="28"/>
          <w:rtl/>
          <w:lang w:bidi="ar-IQ"/>
        </w:rPr>
        <w:t xml:space="preserve">نسخة ما قبل النشر </w:t>
      </w:r>
      <w:r w:rsidRPr="004A16F5">
        <w:rPr>
          <w:rFonts w:asciiTheme="majorBidi" w:eastAsia="Arial" w:hAnsiTheme="majorBidi" w:cstheme="majorBidi"/>
          <w:sz w:val="28"/>
          <w:szCs w:val="28"/>
          <w:rtl/>
        </w:rPr>
        <w:t>(Preprints) في أي وقت ومن أي مكان. ونشجّع الكتّاب على استخدام معرّف الكائن الرقمي (DOI) الخاص ب</w:t>
      </w:r>
      <w:r w:rsidR="008D6ACF">
        <w:rPr>
          <w:rFonts w:asciiTheme="majorBidi" w:eastAsia="Arial" w:hAnsiTheme="majorBidi" w:cstheme="majorBidi" w:hint="cs"/>
          <w:sz w:val="28"/>
          <w:szCs w:val="28"/>
          <w:rtl/>
        </w:rPr>
        <w:t xml:space="preserve">هذه النسخة </w:t>
      </w:r>
      <w:r w:rsidRPr="004A16F5">
        <w:rPr>
          <w:rFonts w:asciiTheme="majorBidi" w:eastAsia="Arial" w:hAnsiTheme="majorBidi" w:cstheme="majorBidi"/>
          <w:sz w:val="28"/>
          <w:szCs w:val="28"/>
          <w:rtl/>
        </w:rPr>
        <w:t xml:space="preserve">للربط بمقالتهم الرسمية في حال قبولها للنشر. ويمكن للمؤلفين، عند قبول مخطوطتهم، تحديث </w:t>
      </w:r>
      <w:r w:rsidR="000177AF">
        <w:rPr>
          <w:rFonts w:asciiTheme="majorBidi" w:eastAsia="Arial" w:hAnsiTheme="majorBidi" w:cstheme="majorBidi" w:hint="cs"/>
          <w:sz w:val="28"/>
          <w:szCs w:val="28"/>
          <w:rtl/>
        </w:rPr>
        <w:t xml:space="preserve">نسخ ما قبل النشر العائدة لهم </w:t>
      </w:r>
      <w:r w:rsidRPr="004A16F5">
        <w:rPr>
          <w:rFonts w:asciiTheme="majorBidi" w:eastAsia="Arial" w:hAnsiTheme="majorBidi" w:cstheme="majorBidi"/>
          <w:sz w:val="28"/>
          <w:szCs w:val="28"/>
          <w:rtl/>
        </w:rPr>
        <w:t>على منصات مثل arXiv وRePEc وغيرها.</w:t>
      </w:r>
    </w:p>
    <w:p w14:paraId="53822EBD"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حماية حق المرضى في الخصوصية</w:t>
      </w:r>
    </w:p>
    <w:p w14:paraId="53822EBE" w14:textId="77777777" w:rsidR="004B1E62" w:rsidRPr="004A16F5" w:rsidRDefault="00072D2B" w:rsidP="00E662AE">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بشكل عام، ما لم يكن ذلك ضروريًا لأسباب علمية، وبعد حصول المريض (أو والده أو ولي أمره، إن انطبق ذلك) على موافقته المستنيرة للنشر، لا ينبغي نشر المعلومات التعريفية مثل الأوصاف النصية والصور والصور بالموجات فوق الصوتية والتصوير المقطعي المحوسب وسلاسل الأنساب. ويُنصح المؤلفون بعدم تضمين أسماء المرضى في الأشكال ما لم يحصلوا على موافقة صريحة ومستنيرة من المرضى. ويقع على عاتق المؤلفين، وليس المجلات أو الناشرين، الحصول على نماذج موافقة المريض قبل النشر والاحتفاظ بها بشكل مناسب للحفاظ على ممارسات النشر الأخلاقية. ولا يُعدّ من المناسب إرسال نماذج الموافقة إلى مكاتب التحرير أو النشر عبر البريد الإلكتروني أو تضمينها في خطاب التقديم. ويجب تضمين بيان يؤكد الحصول على الموافقة المستنيرة من المريض في العمل، إذا كانت المخطوطة تتضمن صورًا للمريض تجعل إخفاء هويته مستحيلًا، أو وصفًا يجعل هوية المريض واضحة.</w:t>
      </w:r>
    </w:p>
    <w:p w14:paraId="53822EBF" w14:textId="5D126AFD"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 xml:space="preserve">أخلاقيات البحث </w:t>
      </w:r>
      <w:r w:rsidR="00DC7DA8">
        <w:rPr>
          <w:rFonts w:asciiTheme="majorBidi" w:eastAsia="Arial" w:hAnsiTheme="majorBidi" w:cstheme="majorBidi" w:hint="cs"/>
          <w:b/>
          <w:bCs/>
          <w:sz w:val="28"/>
          <w:szCs w:val="28"/>
          <w:rtl/>
        </w:rPr>
        <w:t xml:space="preserve">والرضا </w:t>
      </w:r>
    </w:p>
    <w:p w14:paraId="53822EC0"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الدراسات على البشر والحيوانات والنباتات</w:t>
      </w:r>
    </w:p>
    <w:p w14:paraId="53822EC1" w14:textId="68F45C9A" w:rsidR="004B1E62" w:rsidRPr="004A16F5" w:rsidRDefault="00072D2B" w:rsidP="00E662AE">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يجب أن تتضمن جميع المنشورات البحثية، بما فيها الدراسات المتعلقة بالمواد البيولوجية، أو الحيوانات، أو النباتات، أو المشاركين من البشر، أو قواعد البيانات أو الأماكن المحمية أو غير </w:t>
      </w:r>
      <w:r w:rsidR="006D0E68">
        <w:rPr>
          <w:rFonts w:asciiTheme="majorBidi" w:eastAsia="Arial" w:hAnsiTheme="majorBidi" w:cstheme="majorBidi" w:hint="cs"/>
          <w:sz w:val="28"/>
          <w:szCs w:val="28"/>
          <w:rtl/>
        </w:rPr>
        <w:t xml:space="preserve">المتاحة </w:t>
      </w:r>
      <w:r w:rsidR="000F6C28">
        <w:rPr>
          <w:rFonts w:asciiTheme="majorBidi" w:eastAsia="Arial" w:hAnsiTheme="majorBidi" w:cstheme="majorBidi" w:hint="cs"/>
          <w:sz w:val="28"/>
          <w:szCs w:val="28"/>
          <w:rtl/>
        </w:rPr>
        <w:t>ا</w:t>
      </w:r>
      <w:r w:rsidRPr="004A16F5">
        <w:rPr>
          <w:rFonts w:asciiTheme="majorBidi" w:eastAsia="Arial" w:hAnsiTheme="majorBidi" w:cstheme="majorBidi"/>
          <w:sz w:val="28"/>
          <w:szCs w:val="28"/>
          <w:rtl/>
        </w:rPr>
        <w:t>لعامة، بيانًا خطيًا ضمن قسم الموافقة الأخلاقية للامتثال للمعايير الأخلاقية. وينبغي أن يتضمن هذا البيان العناصر التالية:</w:t>
      </w:r>
    </w:p>
    <w:p w14:paraId="53822EC2"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نطلب أسماء مجلس المراجعة المؤسسية أو لجنة (لجان) الأخلاقيات المشاركة في الدراسة.</w:t>
      </w:r>
    </w:p>
    <w:p w14:paraId="53822EC3" w14:textId="77777777" w:rsidR="004B1E62" w:rsidRPr="004A16F5" w:rsidRDefault="00072D2B" w:rsidP="006F5137">
      <w:pPr>
        <w:pStyle w:val="ListParagraph"/>
        <w:numPr>
          <w:ilvl w:val="0"/>
          <w:numId w:val="2"/>
        </w:numPr>
        <w:bidi/>
        <w:spacing w:after="60" w:line="360" w:lineRule="auto"/>
        <w:rPr>
          <w:rFonts w:asciiTheme="majorBidi" w:hAnsiTheme="majorBidi" w:cstheme="majorBidi"/>
          <w:sz w:val="28"/>
          <w:szCs w:val="28"/>
        </w:rPr>
      </w:pPr>
      <w:r w:rsidRPr="004A16F5">
        <w:rPr>
          <w:rFonts w:asciiTheme="majorBidi" w:eastAsia="Arial" w:hAnsiTheme="majorBidi" w:cstheme="majorBidi"/>
          <w:sz w:val="28"/>
          <w:szCs w:val="28"/>
          <w:rtl/>
        </w:rPr>
        <w:t>الرمز أو الرقم التعريفي المرتبط بالموافقة (الموافقات) الأخلاقية.</w:t>
      </w:r>
    </w:p>
    <w:p w14:paraId="4C9D7E2D" w14:textId="77777777" w:rsidR="009A2657" w:rsidRDefault="00072D2B" w:rsidP="00E662AE">
      <w:pPr>
        <w:bidi/>
        <w:spacing w:after="160" w:line="360" w:lineRule="auto"/>
        <w:jc w:val="both"/>
        <w:rPr>
          <w:rFonts w:asciiTheme="majorBidi" w:hAnsiTheme="majorBidi" w:cstheme="majorBidi"/>
          <w:sz w:val="28"/>
          <w:szCs w:val="28"/>
          <w:rtl/>
        </w:rPr>
      </w:pPr>
      <w:r w:rsidRPr="004A16F5">
        <w:rPr>
          <w:rFonts w:asciiTheme="majorBidi" w:eastAsia="Arial" w:hAnsiTheme="majorBidi" w:cstheme="majorBidi"/>
          <w:sz w:val="28"/>
          <w:szCs w:val="28"/>
          <w:rtl/>
        </w:rPr>
        <w:t xml:space="preserve">من خلال ضمان حصول المشاركين من البشر على موافقتهم المستنيرة قبل المشاركة في الدراسة، يمتثل البحث للمعايير الأخلاقية. ويجب الالتزام بالقواعد المنظِّمة لرفاهية الحيوانات ورعايتها عند إجراء الأبحاث </w:t>
      </w:r>
      <w:r w:rsidRPr="004A16F5">
        <w:rPr>
          <w:rFonts w:asciiTheme="majorBidi" w:eastAsia="Arial" w:hAnsiTheme="majorBidi" w:cstheme="majorBidi"/>
          <w:sz w:val="28"/>
          <w:szCs w:val="28"/>
          <w:rtl/>
        </w:rPr>
        <w:lastRenderedPageBreak/>
        <w:t>عليها. ويجب أن تستوفي جميع المنشورات البحثية التي تستخدم حيوانات المعايير المؤسسية والوطنية والدولية للمعاملة الإنسانية والأخلاقية للحيوانات.</w:t>
      </w:r>
    </w:p>
    <w:p w14:paraId="7C2FC0E9" w14:textId="77777777" w:rsidR="009A2657" w:rsidRPr="009A2657" w:rsidRDefault="009A2657" w:rsidP="00E662AE">
      <w:pPr>
        <w:bidi/>
        <w:spacing w:after="160" w:line="360" w:lineRule="auto"/>
        <w:jc w:val="both"/>
        <w:rPr>
          <w:rFonts w:asciiTheme="majorBidi" w:eastAsia="Arial" w:hAnsiTheme="majorBidi" w:cstheme="majorBidi"/>
          <w:sz w:val="28"/>
          <w:szCs w:val="28"/>
        </w:rPr>
      </w:pPr>
      <w:r w:rsidRPr="009A2657">
        <w:rPr>
          <w:rFonts w:asciiTheme="majorBidi" w:eastAsia="Arial" w:hAnsiTheme="majorBidi" w:cstheme="majorBidi"/>
          <w:sz w:val="28"/>
          <w:szCs w:val="28"/>
          <w:rtl/>
        </w:rPr>
        <w:t>الحصول على موافقة لجنة أخلاقيات البحث العلمي التابعة للمؤسسة أو الجهة التي أُجري فيها البحث، وتقديم معلومات وافية عن إجراءات الموافقة، وأسماء لجنة (لجان) الأخلاقيات أو مجلس (مجالس) المراجعة المؤسسية المعنية، ورقم الموافقة الأخلاقية أو الرمز التعريفي الخاص بها، وذلك في قسم "الموافقة الأخلاقية".</w:t>
      </w:r>
    </w:p>
    <w:p w14:paraId="4F08A4DA" w14:textId="77777777" w:rsidR="009A2657" w:rsidRPr="009A2657" w:rsidRDefault="009A2657" w:rsidP="00E662AE">
      <w:pPr>
        <w:bidi/>
        <w:spacing w:after="160" w:line="360" w:lineRule="auto"/>
        <w:jc w:val="both"/>
        <w:rPr>
          <w:rFonts w:asciiTheme="majorBidi" w:eastAsia="Arial" w:hAnsiTheme="majorBidi" w:cstheme="majorBidi"/>
          <w:sz w:val="28"/>
          <w:szCs w:val="28"/>
        </w:rPr>
      </w:pPr>
      <w:r w:rsidRPr="009A2657">
        <w:rPr>
          <w:rFonts w:asciiTheme="majorBidi" w:eastAsia="Arial" w:hAnsiTheme="majorBidi" w:cstheme="majorBidi"/>
          <w:sz w:val="28"/>
          <w:szCs w:val="28"/>
          <w:rtl/>
        </w:rPr>
        <w:t>تقديم مسوِّغ لاستخدام الحيوانات وللنوع المحدد الذي جرى اختياره. وينبغي أن يتضمن التقرير تفاصيل وافية عن ظروف إيواء الحيوانات وتغذيتها وممارسات الإثراء البيئي، فضلاً عن التدابير المتخذة للتخفيف من معاناتها. ويُرجى تضمين معلومات عن طريقة التخدير والقتل الرحيم.</w:t>
      </w:r>
    </w:p>
    <w:p w14:paraId="4792F182" w14:textId="77777777" w:rsidR="009A2657" w:rsidRDefault="009A2657" w:rsidP="009A2657">
      <w:pPr>
        <w:bidi/>
        <w:spacing w:after="160" w:line="360" w:lineRule="auto"/>
        <w:rPr>
          <w:rFonts w:asciiTheme="majorBidi" w:eastAsia="Arial" w:hAnsiTheme="majorBidi"/>
          <w:b/>
          <w:bCs/>
          <w:i/>
          <w:iCs/>
          <w:sz w:val="28"/>
          <w:szCs w:val="28"/>
          <w:rtl/>
        </w:rPr>
      </w:pPr>
      <w:r w:rsidRPr="009A2657">
        <w:rPr>
          <w:rFonts w:asciiTheme="majorBidi" w:eastAsia="Arial" w:hAnsiTheme="majorBidi" w:cstheme="majorBidi"/>
          <w:sz w:val="28"/>
          <w:szCs w:val="28"/>
          <w:rtl/>
        </w:rPr>
        <w:t>وسيُرفض أي بحث لا يلتزم بالمعايير المحددة بشأن الموافقة الأخلاقية ورعاية الحيوانات</w:t>
      </w:r>
    </w:p>
    <w:p w14:paraId="53822EC5" w14:textId="7F1C6F4E" w:rsidR="004B1E62" w:rsidRPr="004A16F5" w:rsidRDefault="00072D2B" w:rsidP="009A2657">
      <w:pPr>
        <w:bidi/>
        <w:spacing w:after="16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البحوث المتعلقة بالبشر</w:t>
      </w:r>
    </w:p>
    <w:p w14:paraId="53822EC6" w14:textId="77777777" w:rsidR="004B1E62" w:rsidRPr="004A16F5" w:rsidRDefault="00072D2B" w:rsidP="00C36802">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عند إجراء بحث يتعلق بمشاركين من البشر، يجب على المؤلف التأكد من أن الدراسة أُجريت وفقًا للمعايير الأخلاقية المنصوص عليها في مدونة أخلاقيات الجمعية الطبية العالمية (إعلان هلسنكي) فيما يتعلق بالتجارب البشرية. وينبغي اتباع التوصيات الخاصة بسلوك الأعمال العلمية في المجلات الطبية والإبلاغ عنها وتحريرها ونشرها. وكما يُوصى بالمبادئ المذكورة أعلاه، ينبغي أن تهدف الدراسة أيضًا إلى تضمين مجموعات بشرية متنوعة تمثيلًا يعكس العمر والجنس والعرق. ويجب استخدام مصطلحي "الجنس" و"النوع الاجتماعي" بشكل ملائم.</w:t>
      </w:r>
    </w:p>
    <w:p w14:paraId="53822EC7" w14:textId="6738897F" w:rsidR="004B1E62" w:rsidRPr="004A16F5" w:rsidRDefault="00072D2B" w:rsidP="008F6ADF">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يجب أن تحظى جميع البروتوكولات بموافقة لجنة الأخلاقيات المؤسسية للمؤلف أو أي لجنة أخلاقيات مختصة أخرى (مثل مجلس المراجعة المؤسسية)، لضمان الامتثال للمعايير الوطنية والدولية. وعند تقديم </w:t>
      </w:r>
      <w:r w:rsidR="00B161F3">
        <w:rPr>
          <w:rFonts w:asciiTheme="majorBidi" w:eastAsia="Arial" w:hAnsiTheme="majorBidi" w:cstheme="majorBidi" w:hint="cs"/>
          <w:sz w:val="28"/>
          <w:szCs w:val="28"/>
          <w:rtl/>
        </w:rPr>
        <w:t xml:space="preserve">البحث </w:t>
      </w:r>
      <w:r w:rsidRPr="004A16F5">
        <w:rPr>
          <w:rFonts w:asciiTheme="majorBidi" w:eastAsia="Arial" w:hAnsiTheme="majorBidi" w:cstheme="majorBidi"/>
          <w:sz w:val="28"/>
          <w:szCs w:val="28"/>
          <w:rtl/>
        </w:rPr>
        <w:t>، يجب تضمين معلومات معينة عن إجراء الموافقة، بما في ذلك اسم المؤسسة، وتسمية مجلس المراجعة، ورقم (أرقام) التصريح المناسب. ويجب الحصول على الموافقة الأخلاقية قبل إجراء الدراسة، إذ يستحيل عادةً الحصول عليها بأثر رجعي، مما قد يزيد من صعوبة نشر النتائج.</w:t>
      </w:r>
    </w:p>
    <w:p w14:paraId="53822EC8" w14:textId="77777777" w:rsidR="004B1E62" w:rsidRPr="004A16F5" w:rsidRDefault="00072D2B" w:rsidP="008F6ADF">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من الضروري أن يُضمِّن الكتّاب في المنشور بيانًا يؤكد الحصول على الموافقة المستنيرة قبل استخدام المشاركين من البشر في الدراسات. ويجب أن يظل الحفاظ على الخصوصية أولوية دائمة.</w:t>
      </w:r>
    </w:p>
    <w:p w14:paraId="53822EC9"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البحوث المتعلقة بالحيوانات</w:t>
      </w:r>
    </w:p>
    <w:p w14:paraId="53822ECA" w14:textId="77777777" w:rsidR="004B1E62" w:rsidRPr="004A16F5" w:rsidRDefault="00072D2B" w:rsidP="00BB0D54">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lastRenderedPageBreak/>
        <w:t>عند إجراء بحث يتعلق بمشاركين من البشر، يجب على المؤلف التأكد من أن الدراسة أُجريت وفقًا لمدونة أخلاقيات الجمعية الطبية العالمية (الموصوفة في إعلان هلسنكي) بشأن الأبحاث المتعلقة بالبشر. وينبغي اتباع متطلبات سلوك الأعمال العلمية في المجلات الطبية والإبلاغ عنها وتحريرها ونشرها. ووفقًا للمعايير المذكورة سابقًا، ينبغي أن تهدف الدراسة أيضًا إلى تضمين مجموعات بشرية متنوعة، كالأشخاص من مختلف الأجناس والأعمار والجنسيات. ويجب استخدام مصطلحي "الجنس" و"النوع الاجتماعي" بشكل ملائم.</w:t>
      </w:r>
    </w:p>
    <w:p w14:paraId="53822ECB" w14:textId="61E761D5" w:rsidR="004B1E62" w:rsidRPr="004A16F5" w:rsidRDefault="00072D2B" w:rsidP="00BB0D54">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يجب أن تكون جميع البروتوكولات المستخدمة في الدراسة قد حصلت على موافقة مجلس المراجعة المؤسسية للمؤلفين أو أي لجنة أخلاقيات مختصة أخرى، لضمان الامتثال للمعايير الوطنية والدولية. وعند تقديم </w:t>
      </w:r>
      <w:r w:rsidR="00472CEA">
        <w:rPr>
          <w:rFonts w:asciiTheme="majorBidi" w:eastAsia="Arial" w:hAnsiTheme="majorBidi" w:cstheme="majorBidi" w:hint="cs"/>
          <w:sz w:val="28"/>
          <w:szCs w:val="28"/>
          <w:rtl/>
        </w:rPr>
        <w:t xml:space="preserve">البحث </w:t>
      </w:r>
      <w:r w:rsidRPr="004A16F5">
        <w:rPr>
          <w:rFonts w:asciiTheme="majorBidi" w:eastAsia="Arial" w:hAnsiTheme="majorBidi" w:cstheme="majorBidi"/>
          <w:sz w:val="28"/>
          <w:szCs w:val="28"/>
          <w:rtl/>
        </w:rPr>
        <w:t>، يجب تضمين معلومات معينة عن إجراء الموافقة، بما في ذلك اسم المؤسسة ورقم (أرقام) التصريح. ويُعدّ الحصول على تصريح أخلاقي أمرًا أساسيًا قبل بدء مشروع الدراسة. وفي أغلب الأحيان، لا يمكن الحصول على موافقة بأثر رجعي، مما قد يزيد من صعوبة نشر نتائج الدراسة.</w:t>
      </w:r>
    </w:p>
    <w:p w14:paraId="53822ECC" w14:textId="77777777" w:rsidR="004B1E62" w:rsidRPr="004A16F5" w:rsidRDefault="00072D2B" w:rsidP="00BB0D54">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من الضروري أن يُضمِّن المؤلفون في المنشور إقرارًا يؤكد الحصول على الإذن المستنير قبل إجراء تجارب تشمل مشاركين من البشر. ويجب الحفاظ باستمرار على حقوق الخصوصية للمشاركين من البشر.</w:t>
      </w:r>
    </w:p>
    <w:p w14:paraId="53822ECD" w14:textId="77777777" w:rsidR="004B1E62" w:rsidRPr="004A16F5" w:rsidRDefault="00072D2B" w:rsidP="00BB0D54">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يجب أن تتبع جميع التجارب على الحيوانات إرشادات ARRIVE، وأن تُجرى وفقًا لدليل المجلس القومي للأبحاث للعناية بالحيوانات المختبرية واستخدامها، وتوجيه الاتحاد الأوروبي 2010/63/EU المتعلق بالتجارب على الحيوانات، وقانون المملكة المتحدة (الإجراءات العلمية على الحيوانات) لعام 1986 وما يتصل به من إرشادات. علاوة على ذلك، يجب على الكتّاب أن يوضحوا بجلاء في مقالتهم التزامهم بهذه القواعد. ومن الضروري تحديد جنس الحيوانات محل الدراسة، وإذا كان ذلك منطبقًا، الإشارة إلى كيفية تأثير الجنس أو ارتباطه بنتائج الدراسة.</w:t>
      </w:r>
    </w:p>
    <w:p w14:paraId="53822ECE" w14:textId="57586BA3"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يجب أن تلتزم الدراسات على الفقريات أو اللافقريات المنظَّمة بالمعايير الأخلاقية التي وضعتها مؤسسة المؤلفين، وكذلك بأي قوانين وطنية أو دولية ذات صلة. ويجب تضمين بيان يؤكد الحصول على تصريح أخلاقي أو ترخيص خاص بالحيوانات عند الاقتضاء. وفي كل حالة، من الضروري بيان أن جميع الخطوات الممكنة قد اتُّخذت للتخفيف من معاناة الحيوانات، وتقديم وصف تفصيلي للأساليب المستخدمة لتحقيق ذلك.</w:t>
      </w:r>
    </w:p>
    <w:p w14:paraId="53822ECF"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البحوث المتعلقة بالنباتات</w:t>
      </w:r>
    </w:p>
    <w:p w14:paraId="53822ED0"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ينبغي الالتزام، عند إجراء بحث على النباتات، بالإرشادات التي وضعتها مؤسسة المؤلفين وأي لوائح وطنية أو دولية ذات صلة. ويُستحسن تضمين إقرار يوضح الحقوق الممنوحة أو التراخيص التي تم </w:t>
      </w:r>
      <w:r w:rsidRPr="004A16F5">
        <w:rPr>
          <w:rFonts w:asciiTheme="majorBidi" w:eastAsia="Arial" w:hAnsiTheme="majorBidi" w:cstheme="majorBidi"/>
          <w:sz w:val="28"/>
          <w:szCs w:val="28"/>
          <w:rtl/>
        </w:rPr>
        <w:lastRenderedPageBreak/>
        <w:t>الحصول عليها عند الاقتضاء. ويجب على المؤلفين اتباع القواعد التي وضعتها اتفاقية التجارة الدولية بأنواع الحيوانات والنباتات البرية المهددة بالانقراض (CITES) واتفاقية التنوع البيولوجي.</w:t>
      </w:r>
    </w:p>
    <w:p w14:paraId="53822ED1"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الأعداد الخاصة</w:t>
      </w:r>
    </w:p>
    <w:p w14:paraId="53822ED2"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تصدر مجلة الدراسات القانونية عن كلية القانون، ويختار الفريق التحريري موضوعات الأعداد الخاصة. وتلتزم المشاركات في الأعداد الخاصة بمعايير التأليف والإجراءات نفسها المتبعة في الإرسالات العادية للأعداد. ويُنصح المؤلفون المحتملون بمراجعة جميع متطلبات التقديم والالتزام بالإجراء المحدَّد. ويختار الفريق التحريري موضوعات الأعداد الخاصة، وعادةً ما يتضمن إصدار العدد الخاص للسنة الجارية دعوة لتقديم الأوراق.</w:t>
      </w:r>
    </w:p>
    <w:p w14:paraId="53822ED3"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تعيين المحررين الضيوف</w:t>
      </w:r>
    </w:p>
    <w:p w14:paraId="53822ED4"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يُختار المحررون الضيوف للأعداد الخاصة استنادًا إلى مؤهلاتهم، ومكانتهم الأكاديمية، وخبرتهم التحريرية السابقة. وتُعدّ هيأة تحرير المجلة، والمحررون الحاليون، أو الترشيح الذاتي كلها خيارات محتملة للمحررين الضيوف. وتراجع هيأة تحرير المجلة الترشيحات ويوافق عليها رئيس التحرير. ويتولى المحررون الضيوف مسؤولية تحديد معايير العدد الخاص، وإعداد الدعوة لتقديم الأوراق، ومتابعة المخطوطات المقدَّمة، والإشراف على إجراء التحكيم العلمي، وضمان الأصالة والجودة، وأخيرًا اتخاذ قرار قبول المخطوطة بالتشاور مع رئيس التحرير.</w:t>
      </w:r>
    </w:p>
    <w:p w14:paraId="53822ED5"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إعداد الأعداد الخاصة</w:t>
      </w:r>
    </w:p>
    <w:p w14:paraId="53822ED6"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يتطلب إعداد العدد الخاص تقديم مقترح شامل يتضمن الموضوع، والأهداف، والجمهور المستهدف، والمحررين الضيوف المحتملين، والإطار الزمني. ويدرس رئيس التحرير وهيأة تحرير المجلة المقترح ويوافقان عليه. وبعد الموافقة، تُعلن الدعوة لتقديم الأوراق ويُروَّج لها عبر عدد من المنصات. ولضمان توافق العدد الخاص مع الجدول الزمني المعتاد لنشر المجلة، يُحدَّد موعد نهائي دقيق لتقديم الأوراق ومراجعتها والنشر.</w:t>
      </w:r>
    </w:p>
    <w:p w14:paraId="53822ED7" w14:textId="77777777" w:rsidR="004B1E62" w:rsidRPr="004A16F5" w:rsidRDefault="00072D2B" w:rsidP="006F5137">
      <w:pPr>
        <w:bidi/>
        <w:spacing w:before="160" w:after="80" w:line="360" w:lineRule="auto"/>
        <w:rPr>
          <w:rFonts w:asciiTheme="majorBidi" w:hAnsiTheme="majorBidi" w:cstheme="majorBidi"/>
          <w:sz w:val="28"/>
          <w:szCs w:val="28"/>
        </w:rPr>
      </w:pPr>
      <w:r w:rsidRPr="004A16F5">
        <w:rPr>
          <w:rFonts w:asciiTheme="majorBidi" w:eastAsia="Arial" w:hAnsiTheme="majorBidi" w:cstheme="majorBidi"/>
          <w:b/>
          <w:bCs/>
          <w:i/>
          <w:iCs/>
          <w:sz w:val="28"/>
          <w:szCs w:val="28"/>
          <w:rtl/>
        </w:rPr>
        <w:t>عملية التحرير والمراجعة</w:t>
      </w:r>
    </w:p>
    <w:p w14:paraId="59945634" w14:textId="77777777" w:rsidR="007C13CB" w:rsidRPr="007C13CB" w:rsidRDefault="007C13CB" w:rsidP="007C13CB">
      <w:pPr>
        <w:bidi/>
        <w:spacing w:after="160" w:line="360" w:lineRule="auto"/>
        <w:jc w:val="both"/>
        <w:rPr>
          <w:rFonts w:asciiTheme="majorBidi" w:eastAsia="Arial" w:hAnsiTheme="majorBidi" w:cstheme="majorBidi"/>
          <w:sz w:val="28"/>
          <w:szCs w:val="28"/>
        </w:rPr>
      </w:pPr>
      <w:r w:rsidRPr="007C13CB">
        <w:rPr>
          <w:rFonts w:asciiTheme="majorBidi" w:eastAsia="Arial" w:hAnsiTheme="majorBidi"/>
          <w:sz w:val="28"/>
          <w:szCs w:val="28"/>
          <w:rtl/>
        </w:rPr>
        <w:t xml:space="preserve">تخضع جميع البحوث المقدَّمة، بما فيها البحوث المقدَّمة للأعداد </w:t>
      </w:r>
      <w:r w:rsidRPr="007C13CB">
        <w:rPr>
          <w:rFonts w:asciiTheme="majorBidi" w:eastAsia="Arial" w:hAnsiTheme="majorBidi" w:cstheme="majorBidi"/>
          <w:sz w:val="28"/>
          <w:szCs w:val="28"/>
          <w:rtl/>
        </w:rPr>
        <w:t>الخاصة</w:t>
      </w:r>
      <w:r w:rsidRPr="007C13CB">
        <w:rPr>
          <w:rFonts w:asciiTheme="majorBidi" w:eastAsia="Arial" w:hAnsiTheme="majorBidi"/>
          <w:sz w:val="28"/>
          <w:szCs w:val="28"/>
          <w:rtl/>
        </w:rPr>
        <w:t xml:space="preserve">، للتحكيم </w:t>
      </w:r>
      <w:r w:rsidRPr="007C13CB">
        <w:rPr>
          <w:rFonts w:asciiTheme="majorBidi" w:eastAsia="Arial" w:hAnsiTheme="majorBidi" w:cstheme="majorBidi"/>
          <w:sz w:val="28"/>
          <w:szCs w:val="28"/>
          <w:rtl/>
        </w:rPr>
        <w:t>العلمي</w:t>
      </w:r>
      <w:r w:rsidRPr="007C13CB">
        <w:rPr>
          <w:rFonts w:asciiTheme="majorBidi" w:eastAsia="Arial" w:hAnsiTheme="majorBidi"/>
          <w:sz w:val="28"/>
          <w:szCs w:val="28"/>
          <w:rtl/>
        </w:rPr>
        <w:t xml:space="preserve"> المزدوج السري، الذي تُحجب فيه هويات المؤلفين والمحكّمين عن بعضهم بعضاً طوال مدة عملية التحكيم.</w:t>
      </w:r>
    </w:p>
    <w:p w14:paraId="745975B9" w14:textId="71CA284D" w:rsidR="007C13CB" w:rsidRDefault="007C13CB" w:rsidP="007C13CB">
      <w:pPr>
        <w:bidi/>
        <w:spacing w:after="160" w:line="360" w:lineRule="auto"/>
        <w:jc w:val="both"/>
        <w:rPr>
          <w:rFonts w:asciiTheme="majorBidi" w:eastAsia="Arial" w:hAnsiTheme="majorBidi" w:cstheme="majorBidi"/>
          <w:sz w:val="28"/>
          <w:szCs w:val="28"/>
          <w:rtl/>
        </w:rPr>
      </w:pPr>
      <w:r w:rsidRPr="007C13CB">
        <w:rPr>
          <w:rFonts w:asciiTheme="majorBidi" w:eastAsia="Arial" w:hAnsiTheme="majorBidi"/>
          <w:sz w:val="28"/>
          <w:szCs w:val="28"/>
          <w:rtl/>
        </w:rPr>
        <w:t xml:space="preserve">تستقبل مجلة الدراسات القانونية الصادرة عن كلية القانون البحوثَ بصورة مستمرة على مدار العام، وينبغي أن تكون البحوث المقدَّمة ضمن أنواع البحوث المطلوبة، وأن تلتزم بإرشادات المؤلفين الكاملة المبيَّنة هنا. </w:t>
      </w:r>
      <w:r w:rsidRPr="007C13CB">
        <w:rPr>
          <w:rFonts w:asciiTheme="majorBidi" w:eastAsia="Arial" w:hAnsiTheme="majorBidi"/>
          <w:sz w:val="28"/>
          <w:szCs w:val="28"/>
          <w:rtl/>
        </w:rPr>
        <w:lastRenderedPageBreak/>
        <w:t xml:space="preserve">وتصدر المجلة مرتين في السنة، في عددين عامَّين في شهري حزيران وكانون الأول. وتُدرَج البحوث للنشر في العدد القادم متى ما عُدَّت جاهزة للنشر، وليس بالضرورة وفق تاريخ تقديمها. وتتبع جميع أعداد المجلة، بما فيها الأعداد الخاصة، الإجراءات التحريرية وإجراءات التحكيم ذاتها، وتلتزم بالإرشادات الواردة هنا. </w:t>
      </w:r>
      <w:r w:rsidR="00BB10FA">
        <w:rPr>
          <w:rFonts w:asciiTheme="majorBidi" w:eastAsia="Arial" w:hAnsiTheme="majorBidi" w:hint="cs"/>
          <w:sz w:val="28"/>
          <w:szCs w:val="28"/>
          <w:rtl/>
        </w:rPr>
        <w:t xml:space="preserve">تشجع المجلة </w:t>
      </w:r>
      <w:r w:rsidRPr="007C13CB">
        <w:rPr>
          <w:rFonts w:asciiTheme="majorBidi" w:eastAsia="Arial" w:hAnsiTheme="majorBidi"/>
          <w:sz w:val="28"/>
          <w:szCs w:val="28"/>
          <w:rtl/>
        </w:rPr>
        <w:t xml:space="preserve">تقديم بحوثكم </w:t>
      </w:r>
      <w:r w:rsidR="005A2E02">
        <w:rPr>
          <w:rFonts w:asciiTheme="majorBidi" w:eastAsia="Arial" w:hAnsiTheme="majorBidi" w:hint="cs"/>
          <w:sz w:val="28"/>
          <w:szCs w:val="28"/>
          <w:rtl/>
        </w:rPr>
        <w:t xml:space="preserve">وترحب </w:t>
      </w:r>
      <w:r w:rsidRPr="007C13CB">
        <w:rPr>
          <w:rFonts w:asciiTheme="majorBidi" w:eastAsia="Arial" w:hAnsiTheme="majorBidi"/>
          <w:sz w:val="28"/>
          <w:szCs w:val="28"/>
          <w:rtl/>
        </w:rPr>
        <w:t>بها.</w:t>
      </w:r>
    </w:p>
    <w:p w14:paraId="31C584E1" w14:textId="77777777" w:rsidR="007C13CB" w:rsidRDefault="007C13CB" w:rsidP="007C13CB">
      <w:pPr>
        <w:bidi/>
        <w:spacing w:after="160" w:line="360" w:lineRule="auto"/>
        <w:jc w:val="both"/>
        <w:rPr>
          <w:rFonts w:asciiTheme="majorBidi" w:eastAsia="Arial" w:hAnsiTheme="majorBidi" w:cstheme="majorBidi"/>
          <w:sz w:val="28"/>
          <w:szCs w:val="28"/>
          <w:rtl/>
        </w:rPr>
      </w:pPr>
    </w:p>
    <w:p w14:paraId="53822EDA" w14:textId="435A48F8"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 xml:space="preserve">معايير </w:t>
      </w:r>
      <w:r w:rsidR="005A2E02">
        <w:rPr>
          <w:rFonts w:asciiTheme="majorBidi" w:eastAsia="Arial" w:hAnsiTheme="majorBidi" w:cstheme="majorBidi" w:hint="cs"/>
          <w:b/>
          <w:bCs/>
          <w:sz w:val="28"/>
          <w:szCs w:val="28"/>
          <w:rtl/>
        </w:rPr>
        <w:t xml:space="preserve">الكتابة </w:t>
      </w:r>
    </w:p>
    <w:p w14:paraId="53822EDB"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نحث الكتّاب على تقديم شروح وافية لمبررات دراستهم وبروتوكولها ومنهجيتها وتحليلها، لأن البحث ينبغي أن يُعرض بشكل يسهّل التحقق منه وإمكانية تكراره.</w:t>
      </w:r>
    </w:p>
    <w:p w14:paraId="53822EDC"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استخدام مواد الطرف الثالث</w:t>
      </w:r>
    </w:p>
    <w:p w14:paraId="53822EDD" w14:textId="327C7864"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لاستخدام محتوى طرف ثالث في عملك الأكاديمي، يجب الحصول على الإذن اللازم. تُعدّ النصوص، والرسومات، والصور، والجداول، والبيانات، والتسجيلات الصوتية، ولقطات الفيديو، ومقاطع الأفلام، ولقطات الشاشة، والنوتة الموسيقية بعض الأمثلة على أنواع المواد التي تندرج تحت هذه الفئة. ويمكن استخدام المقاطع النصية الموجزة وأنواع أخرى من المعلومات، ضمن حدود معينة، لأغراض النقد والتقييم دون الحاجة إلى إذن رسمي. وإذا كنت تخطط لتضمين أي محتوى في عملك لا يشمله حقك في النشر ولا يخضع لهذا الاتفاق غير الرسمي، فيجب عليك الحصول على إذن كتابي من مالك حقوق النشر قبل تقديم </w:t>
      </w:r>
      <w:r w:rsidR="009D6555">
        <w:rPr>
          <w:rFonts w:asciiTheme="majorBidi" w:eastAsia="Arial" w:hAnsiTheme="majorBidi" w:cstheme="majorBidi" w:hint="cs"/>
          <w:sz w:val="28"/>
          <w:szCs w:val="28"/>
          <w:rtl/>
        </w:rPr>
        <w:t>هذا المحتوى</w:t>
      </w:r>
      <w:r w:rsidRPr="004A16F5">
        <w:rPr>
          <w:rFonts w:asciiTheme="majorBidi" w:eastAsia="Arial" w:hAnsiTheme="majorBidi" w:cstheme="majorBidi"/>
          <w:sz w:val="28"/>
          <w:szCs w:val="28"/>
          <w:rtl/>
        </w:rPr>
        <w:t>.</w:t>
      </w:r>
    </w:p>
    <w:p w14:paraId="53822EDE"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استخدام الذكاء الاصطناعي التوليدي والتقنيات المدعومة بالذكاء الاصطناعي في الكتابة</w:t>
      </w:r>
    </w:p>
    <w:p w14:paraId="53822EDF"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sz w:val="28"/>
          <w:szCs w:val="28"/>
          <w:rtl/>
        </w:rPr>
        <w:t xml:space="preserve">يُرجى ملاحظة أن هذه السياسة تشير فقط إلى عملية الكتابة، وليس إلى استخدام أدوات الذكاء الاصطناعي لتحليل البيانات واستخلاص الرؤى منها كجزء من عملية البحث. وبدلًا من الاستعاضة عن مهام التأليف الجوهرية، كإنتاج رؤى علمية أو تربوية أو طبية، أو استخلاص استنتاجات علمية، أو تقديم توصيات سريرية، ينبغي للمؤلفين الذين يدمجون تقنيات الذكاء الاصطناعي والتقنيات المدعومة به في عملية الكتابة أن يقوموا بذلك بهدف تحسين القابلية للقراءة واللغة. وينبغي مراجعة كل العمل وتحريره بعناية، مع الإشراف والتحكم البشري الدائم في استخدام هذه التقنية. فالذكاء الاصطناعي لديه القدرة على توليد محتوى يبدو موثوقًا لكنه قد يكون متحيّزًا أو غير دقيق أو غير مكتمل. وفي نهاية المطاف، يبقى الكتّاب مسؤولين ومحاسَبين عن المادة التي ينتجونها. ويُطلب من المؤلفين الإفصاح الكامل في مقالاتهم عن كيفية توظيفهم للأدوات أو التقنيات المعنية، مما يعزز الالتزام بشروط استخدام هذه الأدوات ويُرسّخ الثقة بين المؤلفين </w:t>
      </w:r>
      <w:r w:rsidRPr="004A16F5">
        <w:rPr>
          <w:rFonts w:asciiTheme="majorBidi" w:eastAsia="Arial" w:hAnsiTheme="majorBidi" w:cstheme="majorBidi"/>
          <w:sz w:val="28"/>
          <w:szCs w:val="28"/>
          <w:rtl/>
        </w:rPr>
        <w:lastRenderedPageBreak/>
        <w:t>والقراء والمحكّمين والمحررين والمساهمين. ولا ينبغي إدراج الذكاء الاصطناعي كمؤلف مشارك أو منحه صفة التأليف من قبل المؤلفين. ويتحمل كل مؤلف مسؤولية الإجابة عن الأسئلة المتعلقة بسلامة أي جزء من العمل أو صحته، فضلًا عن الموافقة على النسخة المكتملة وتقديمها. كما تقع على عاتق المؤلفين مسؤولية ضمان أصالة العمل.</w:t>
      </w:r>
    </w:p>
    <w:p w14:paraId="53822EE0" w14:textId="77777777" w:rsidR="004B1E62" w:rsidRPr="004A16F5" w:rsidRDefault="00072D2B" w:rsidP="006F5137">
      <w:pPr>
        <w:pStyle w:val="Heading1"/>
        <w:bidi/>
        <w:spacing w:before="300" w:after="140" w:line="360" w:lineRule="auto"/>
        <w:rPr>
          <w:rFonts w:asciiTheme="majorBidi" w:hAnsiTheme="majorBidi" w:cstheme="majorBidi"/>
          <w:sz w:val="28"/>
          <w:szCs w:val="28"/>
        </w:rPr>
      </w:pPr>
      <w:r w:rsidRPr="004A16F5">
        <w:rPr>
          <w:rFonts w:asciiTheme="majorBidi" w:eastAsia="Arial" w:hAnsiTheme="majorBidi" w:cstheme="majorBidi"/>
          <w:b/>
          <w:bCs/>
          <w:sz w:val="28"/>
          <w:szCs w:val="28"/>
          <w:rtl/>
        </w:rPr>
        <w:t>استخدام الذكاء الاصطناعي في التحكيم العلمي</w:t>
      </w:r>
    </w:p>
    <w:p w14:paraId="53822EE1" w14:textId="200E00F9" w:rsidR="004B1E62" w:rsidRPr="004A16F5" w:rsidRDefault="00B34897" w:rsidP="004409C1">
      <w:pPr>
        <w:bidi/>
        <w:spacing w:after="160" w:line="360" w:lineRule="auto"/>
        <w:jc w:val="both"/>
        <w:rPr>
          <w:rFonts w:asciiTheme="majorBidi" w:hAnsiTheme="majorBidi" w:cstheme="majorBidi"/>
          <w:sz w:val="28"/>
          <w:szCs w:val="28"/>
        </w:rPr>
      </w:pPr>
      <w:r>
        <w:rPr>
          <w:rFonts w:asciiTheme="majorBidi" w:eastAsia="Arial" w:hAnsiTheme="majorBidi" w:cstheme="majorBidi" w:hint="cs"/>
          <w:sz w:val="28"/>
          <w:szCs w:val="28"/>
          <w:rtl/>
        </w:rPr>
        <w:t xml:space="preserve">تقر المجلة </w:t>
      </w:r>
      <w:r w:rsidR="00072D2B" w:rsidRPr="004A16F5">
        <w:rPr>
          <w:rFonts w:asciiTheme="majorBidi" w:eastAsia="Arial" w:hAnsiTheme="majorBidi" w:cstheme="majorBidi"/>
          <w:sz w:val="28"/>
          <w:szCs w:val="28"/>
          <w:rtl/>
        </w:rPr>
        <w:t>بالدور المتغيّر للذكاء الاصطناعي في جوانب متعددة من النشر الأكاديمي. ومع ذلك، نعتقد أن الواجبات المرتبطة بتقييم دراسة علمية تستلزم حكمًا بشريًا وتقييمًا وتفكيرًا نقديًا. لذا، تحكم السياسة التالية استخدام الذكاء الاصطناعي التوليدي والتقنيات المدعومة به أثناء عملية التحكيم العلمي:</w:t>
      </w:r>
    </w:p>
    <w:p w14:paraId="53822EE2"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b/>
          <w:bCs/>
          <w:sz w:val="28"/>
          <w:szCs w:val="28"/>
          <w:rtl/>
        </w:rPr>
        <w:t xml:space="preserve">المسؤولية البشرية: </w:t>
      </w:r>
      <w:r w:rsidRPr="004A16F5">
        <w:rPr>
          <w:rFonts w:asciiTheme="majorBidi" w:eastAsia="Arial" w:hAnsiTheme="majorBidi" w:cstheme="majorBidi"/>
          <w:sz w:val="28"/>
          <w:szCs w:val="28"/>
          <w:rtl/>
        </w:rPr>
        <w:t>لا يمكن لأنظمة الذكاء الاصطناعي التوليدي مضاهاة التفكير النقدي والتقييم الدقيق الذي تتطلبه عملية التحكيم العلمي. لذا، يتحمل المحكّمون البشريون والمحررون وحدهم مسؤولية مراجعة المخطوطات العلمية.</w:t>
      </w:r>
    </w:p>
    <w:p w14:paraId="53822EE3"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b/>
          <w:bCs/>
          <w:sz w:val="28"/>
          <w:szCs w:val="28"/>
          <w:rtl/>
        </w:rPr>
        <w:t xml:space="preserve">السرية: </w:t>
      </w:r>
      <w:r w:rsidRPr="004A16F5">
        <w:rPr>
          <w:rFonts w:asciiTheme="majorBidi" w:eastAsia="Arial" w:hAnsiTheme="majorBidi" w:cstheme="majorBidi"/>
          <w:sz w:val="28"/>
          <w:szCs w:val="28"/>
          <w:rtl/>
        </w:rPr>
        <w:t>لا يجوز تحميل المخطوطة أو أي جزء منها من قبل المحكّمين أو المحررين إلى أداة ذكاء اصطناعي توليدي. فالوصول غير المصرَّح به إلى محتوى المخطوطة، أو تخزينه، أو إساءة استخدامه، قد ينتج عن عدم قدرة هذه الأدوات على ضمان سرية المحتوى وأمنه وخصوصيته. وقد تنتهك هذه الأفعال شروط استخدام أداة الذكاء الاصطناعي، وكذلك حقوق المؤلفين في الخصوصية والملكية والسرية.</w:t>
      </w:r>
    </w:p>
    <w:p w14:paraId="53822EE4" w14:textId="77777777"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b/>
          <w:bCs/>
          <w:sz w:val="28"/>
          <w:szCs w:val="28"/>
          <w:rtl/>
        </w:rPr>
        <w:t xml:space="preserve">تقرير التحكيم العلمي: </w:t>
      </w:r>
      <w:r w:rsidRPr="004A16F5">
        <w:rPr>
          <w:rFonts w:asciiTheme="majorBidi" w:eastAsia="Arial" w:hAnsiTheme="majorBidi" w:cstheme="majorBidi"/>
          <w:sz w:val="28"/>
          <w:szCs w:val="28"/>
          <w:rtl/>
        </w:rPr>
        <w:t>يخضع تقرير التحكيم العلمي وجميع المراسلات المرتبطة به، كخطابات الإشعار أو القرار، لالتزام السرية. ولا يُنصح بتحميل هذه الوثائق إلى أداة ذكاء اصطناعي توليدي لأي غرض، بما في ذلك تحسين القابلية للقراءة أو اللغة، إذ قد تحتوي على معلومات حساسة عن المؤلفين والنص.</w:t>
      </w:r>
    </w:p>
    <w:p w14:paraId="53822EE5" w14:textId="442CD605"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b/>
          <w:bCs/>
          <w:sz w:val="28"/>
          <w:szCs w:val="28"/>
          <w:rtl/>
        </w:rPr>
        <w:t xml:space="preserve">الذكاء الاصطناعي في اتخاذ القرارات: </w:t>
      </w:r>
      <w:r w:rsidR="00954526" w:rsidRPr="00954526">
        <w:rPr>
          <w:rFonts w:asciiTheme="majorBidi" w:eastAsia="Arial" w:hAnsiTheme="majorBidi" w:cstheme="majorBidi" w:hint="cs"/>
          <w:sz w:val="28"/>
          <w:szCs w:val="28"/>
          <w:rtl/>
        </w:rPr>
        <w:t>إن من غير المناسب</w:t>
      </w:r>
      <w:r w:rsidR="00954526">
        <w:rPr>
          <w:rFonts w:asciiTheme="majorBidi" w:eastAsia="Arial" w:hAnsiTheme="majorBidi" w:cstheme="majorBidi" w:hint="cs"/>
          <w:b/>
          <w:bCs/>
          <w:sz w:val="28"/>
          <w:szCs w:val="28"/>
          <w:rtl/>
        </w:rPr>
        <w:t xml:space="preserve"> </w:t>
      </w:r>
      <w:r w:rsidRPr="004A16F5">
        <w:rPr>
          <w:rFonts w:asciiTheme="majorBidi" w:eastAsia="Arial" w:hAnsiTheme="majorBidi" w:cstheme="majorBidi"/>
          <w:sz w:val="28"/>
          <w:szCs w:val="28"/>
          <w:rtl/>
        </w:rPr>
        <w:t>استخدام الذكاء الاصطناعي التوليدي للمساعدة في مراجعة المقالة أو تقييمها أو اتخاذ القرار بشأنها. ويجب على المحكّمين والمحررين البشريين المؤهلين اتخاذ القرار النهائي بشأن جودة العمل المقدَّم وصحته وأثره.</w:t>
      </w:r>
    </w:p>
    <w:p w14:paraId="53822EE6" w14:textId="522259C2" w:rsidR="004B1E62" w:rsidRPr="004A16F5" w:rsidRDefault="00072D2B" w:rsidP="004409C1">
      <w:pPr>
        <w:bidi/>
        <w:spacing w:after="160" w:line="360" w:lineRule="auto"/>
        <w:jc w:val="both"/>
        <w:rPr>
          <w:rFonts w:asciiTheme="majorBidi" w:hAnsiTheme="majorBidi" w:cstheme="majorBidi"/>
          <w:sz w:val="28"/>
          <w:szCs w:val="28"/>
        </w:rPr>
      </w:pPr>
      <w:r w:rsidRPr="004A16F5">
        <w:rPr>
          <w:rFonts w:asciiTheme="majorBidi" w:eastAsia="Arial" w:hAnsiTheme="majorBidi" w:cstheme="majorBidi"/>
          <w:b/>
          <w:bCs/>
          <w:sz w:val="28"/>
          <w:szCs w:val="28"/>
          <w:rtl/>
        </w:rPr>
        <w:t xml:space="preserve">الاستخدام الأخلاقي للذكاء الاصطناعي: </w:t>
      </w:r>
      <w:r w:rsidRPr="004A16F5">
        <w:rPr>
          <w:rFonts w:asciiTheme="majorBidi" w:eastAsia="Arial" w:hAnsiTheme="majorBidi" w:cstheme="majorBidi"/>
          <w:sz w:val="28"/>
          <w:szCs w:val="28"/>
          <w:rtl/>
        </w:rPr>
        <w:t xml:space="preserve">طالما التزمت أدوات الذكاء الاصطناعي بالمبادئ التوجيهية الأخلاقية، فإن </w:t>
      </w:r>
      <w:r w:rsidR="00DF67AC">
        <w:rPr>
          <w:rFonts w:asciiTheme="majorBidi" w:eastAsia="Arial" w:hAnsiTheme="majorBidi" w:cstheme="majorBidi" w:hint="cs"/>
          <w:sz w:val="28"/>
          <w:szCs w:val="28"/>
          <w:rtl/>
        </w:rPr>
        <w:t xml:space="preserve">مجلتنا </w:t>
      </w:r>
      <w:r w:rsidR="0006402F">
        <w:rPr>
          <w:rFonts w:asciiTheme="majorBidi" w:eastAsia="Arial" w:hAnsiTheme="majorBidi" w:cstheme="majorBidi" w:hint="cs"/>
          <w:sz w:val="28"/>
          <w:szCs w:val="28"/>
          <w:rtl/>
        </w:rPr>
        <w:t>ت</w:t>
      </w:r>
      <w:r w:rsidRPr="004A16F5">
        <w:rPr>
          <w:rFonts w:asciiTheme="majorBidi" w:eastAsia="Arial" w:hAnsiTheme="majorBidi" w:cstheme="majorBidi"/>
          <w:sz w:val="28"/>
          <w:szCs w:val="28"/>
          <w:rtl/>
        </w:rPr>
        <w:t>رحّب باستخدامها للمساعدة في العملية التحريرية. ويمكن استخدام هذه الأدوات في إجراءات الفرز الأولية، مثل إيجاد محكّمين محتملين، والتحقق من الانتحال، والتأكد من اكتمال المخطوطة. ويجب أن تلتزم أدوات الذكاء الاصطناعي هذه بتقنيات محمية الهوية، وأن تحترم حق كل طرف في خصوصية بياناته وسريتها وحقوق ملكيته.</w:t>
      </w:r>
    </w:p>
    <w:sectPr w:rsidR="004B1E62" w:rsidRPr="004A16F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B26"/>
    <w:multiLevelType w:val="hybridMultilevel"/>
    <w:tmpl w:val="A7EA58D0"/>
    <w:lvl w:ilvl="0" w:tplc="89B43F1E">
      <w:start w:val="1"/>
      <w:numFmt w:val="bullet"/>
      <w:lvlText w:val="•"/>
      <w:lvlJc w:val="right"/>
      <w:pPr>
        <w:ind w:right="720" w:hanging="360"/>
      </w:pPr>
    </w:lvl>
    <w:lvl w:ilvl="1" w:tplc="AE28E02A">
      <w:numFmt w:val="decimal"/>
      <w:lvlText w:val=""/>
      <w:lvlJc w:val="left"/>
    </w:lvl>
    <w:lvl w:ilvl="2" w:tplc="44CC9928">
      <w:numFmt w:val="decimal"/>
      <w:lvlText w:val=""/>
      <w:lvlJc w:val="left"/>
    </w:lvl>
    <w:lvl w:ilvl="3" w:tplc="3C365128">
      <w:numFmt w:val="decimal"/>
      <w:lvlText w:val=""/>
      <w:lvlJc w:val="left"/>
    </w:lvl>
    <w:lvl w:ilvl="4" w:tplc="F1ACF4F2">
      <w:numFmt w:val="decimal"/>
      <w:lvlText w:val=""/>
      <w:lvlJc w:val="left"/>
    </w:lvl>
    <w:lvl w:ilvl="5" w:tplc="7DF6BBEC">
      <w:numFmt w:val="decimal"/>
      <w:lvlText w:val=""/>
      <w:lvlJc w:val="left"/>
    </w:lvl>
    <w:lvl w:ilvl="6" w:tplc="BB645F4E">
      <w:numFmt w:val="decimal"/>
      <w:lvlText w:val=""/>
      <w:lvlJc w:val="left"/>
    </w:lvl>
    <w:lvl w:ilvl="7" w:tplc="D236EDDC">
      <w:numFmt w:val="decimal"/>
      <w:lvlText w:val=""/>
      <w:lvlJc w:val="left"/>
    </w:lvl>
    <w:lvl w:ilvl="8" w:tplc="CB7E3B42">
      <w:numFmt w:val="decimal"/>
      <w:lvlText w:val=""/>
      <w:lvlJc w:val="left"/>
    </w:lvl>
  </w:abstractNum>
  <w:abstractNum w:abstractNumId="1" w15:restartNumberingAfterBreak="0">
    <w:nsid w:val="442C035A"/>
    <w:multiLevelType w:val="hybridMultilevel"/>
    <w:tmpl w:val="8A263954"/>
    <w:lvl w:ilvl="0" w:tplc="D870DFBE">
      <w:start w:val="1"/>
      <w:numFmt w:val="bullet"/>
      <w:lvlText w:val="●"/>
      <w:lvlJc w:val="left"/>
      <w:pPr>
        <w:ind w:left="720" w:hanging="360"/>
      </w:pPr>
    </w:lvl>
    <w:lvl w:ilvl="1" w:tplc="1CD44900">
      <w:start w:val="1"/>
      <w:numFmt w:val="bullet"/>
      <w:lvlText w:val="○"/>
      <w:lvlJc w:val="left"/>
      <w:pPr>
        <w:ind w:left="1440" w:hanging="360"/>
      </w:pPr>
    </w:lvl>
    <w:lvl w:ilvl="2" w:tplc="0482510A">
      <w:start w:val="1"/>
      <w:numFmt w:val="bullet"/>
      <w:lvlText w:val="■"/>
      <w:lvlJc w:val="left"/>
      <w:pPr>
        <w:ind w:left="2160" w:hanging="360"/>
      </w:pPr>
    </w:lvl>
    <w:lvl w:ilvl="3" w:tplc="737A86D6">
      <w:start w:val="1"/>
      <w:numFmt w:val="bullet"/>
      <w:lvlText w:val="●"/>
      <w:lvlJc w:val="left"/>
      <w:pPr>
        <w:ind w:left="2880" w:hanging="360"/>
      </w:pPr>
    </w:lvl>
    <w:lvl w:ilvl="4" w:tplc="2B20EFC6">
      <w:start w:val="1"/>
      <w:numFmt w:val="bullet"/>
      <w:lvlText w:val="○"/>
      <w:lvlJc w:val="left"/>
      <w:pPr>
        <w:ind w:left="3600" w:hanging="360"/>
      </w:pPr>
    </w:lvl>
    <w:lvl w:ilvl="5" w:tplc="055268C0">
      <w:start w:val="1"/>
      <w:numFmt w:val="bullet"/>
      <w:lvlText w:val="■"/>
      <w:lvlJc w:val="left"/>
      <w:pPr>
        <w:ind w:left="4320" w:hanging="360"/>
      </w:pPr>
    </w:lvl>
    <w:lvl w:ilvl="6" w:tplc="2578EDA8">
      <w:start w:val="1"/>
      <w:numFmt w:val="bullet"/>
      <w:lvlText w:val="●"/>
      <w:lvlJc w:val="left"/>
      <w:pPr>
        <w:ind w:left="5040" w:hanging="360"/>
      </w:pPr>
    </w:lvl>
    <w:lvl w:ilvl="7" w:tplc="CEFACBBA">
      <w:start w:val="1"/>
      <w:numFmt w:val="bullet"/>
      <w:lvlText w:val="●"/>
      <w:lvlJc w:val="left"/>
      <w:pPr>
        <w:ind w:left="5760" w:hanging="360"/>
      </w:pPr>
    </w:lvl>
    <w:lvl w:ilvl="8" w:tplc="5C883D86">
      <w:start w:val="1"/>
      <w:numFmt w:val="bullet"/>
      <w:lvlText w:val="●"/>
      <w:lvlJc w:val="left"/>
      <w:pPr>
        <w:ind w:left="6480" w:hanging="360"/>
      </w:pPr>
    </w:lvl>
  </w:abstractNum>
  <w:abstractNum w:abstractNumId="2" w15:restartNumberingAfterBreak="0">
    <w:nsid w:val="454C45E9"/>
    <w:multiLevelType w:val="hybridMultilevel"/>
    <w:tmpl w:val="A2A29858"/>
    <w:lvl w:ilvl="0" w:tplc="FE5A4E6C">
      <w:start w:val="1"/>
      <w:numFmt w:val="decimal"/>
      <w:lvlText w:val="%1."/>
      <w:lvlJc w:val="right"/>
      <w:pPr>
        <w:ind w:right="720" w:hanging="360"/>
      </w:pPr>
    </w:lvl>
    <w:lvl w:ilvl="1" w:tplc="D9AAD346">
      <w:numFmt w:val="decimal"/>
      <w:lvlText w:val=""/>
      <w:lvlJc w:val="left"/>
    </w:lvl>
    <w:lvl w:ilvl="2" w:tplc="A9EE9CCE">
      <w:numFmt w:val="decimal"/>
      <w:lvlText w:val=""/>
      <w:lvlJc w:val="left"/>
    </w:lvl>
    <w:lvl w:ilvl="3" w:tplc="294234E2">
      <w:numFmt w:val="decimal"/>
      <w:lvlText w:val=""/>
      <w:lvlJc w:val="left"/>
    </w:lvl>
    <w:lvl w:ilvl="4" w:tplc="4016E3EC">
      <w:numFmt w:val="decimal"/>
      <w:lvlText w:val=""/>
      <w:lvlJc w:val="left"/>
    </w:lvl>
    <w:lvl w:ilvl="5" w:tplc="7B862B1E">
      <w:numFmt w:val="decimal"/>
      <w:lvlText w:val=""/>
      <w:lvlJc w:val="left"/>
    </w:lvl>
    <w:lvl w:ilvl="6" w:tplc="A0789D0A">
      <w:numFmt w:val="decimal"/>
      <w:lvlText w:val=""/>
      <w:lvlJc w:val="left"/>
    </w:lvl>
    <w:lvl w:ilvl="7" w:tplc="1EB09EFA">
      <w:numFmt w:val="decimal"/>
      <w:lvlText w:val=""/>
      <w:lvlJc w:val="left"/>
    </w:lvl>
    <w:lvl w:ilvl="8" w:tplc="74EAB862">
      <w:numFmt w:val="decimal"/>
      <w:lvlText w:val=""/>
      <w:lvlJc w:val="left"/>
    </w:lvl>
  </w:abstractNum>
  <w:num w:numId="1" w16cid:durableId="1968972431">
    <w:abstractNumId w:val="1"/>
    <w:lvlOverride w:ilvl="0">
      <w:startOverride w:val="1"/>
    </w:lvlOverride>
  </w:num>
  <w:num w:numId="2" w16cid:durableId="377363527">
    <w:abstractNumId w:val="0"/>
    <w:lvlOverride w:ilvl="0">
      <w:startOverride w:val="1"/>
    </w:lvlOverride>
  </w:num>
  <w:num w:numId="3" w16cid:durableId="24696471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E62"/>
    <w:rsid w:val="00000A10"/>
    <w:rsid w:val="000177AF"/>
    <w:rsid w:val="00030314"/>
    <w:rsid w:val="000627EE"/>
    <w:rsid w:val="0006402F"/>
    <w:rsid w:val="00072D2B"/>
    <w:rsid w:val="00097E64"/>
    <w:rsid w:val="000B2CB3"/>
    <w:rsid w:val="000D3208"/>
    <w:rsid w:val="000F6C28"/>
    <w:rsid w:val="00104F5D"/>
    <w:rsid w:val="001410ED"/>
    <w:rsid w:val="001470CE"/>
    <w:rsid w:val="001868DE"/>
    <w:rsid w:val="001D24D5"/>
    <w:rsid w:val="002361C8"/>
    <w:rsid w:val="00257F80"/>
    <w:rsid w:val="002669DA"/>
    <w:rsid w:val="00276BBC"/>
    <w:rsid w:val="00284677"/>
    <w:rsid w:val="002E25B9"/>
    <w:rsid w:val="00313A24"/>
    <w:rsid w:val="00340EA2"/>
    <w:rsid w:val="003C4DB1"/>
    <w:rsid w:val="003D0745"/>
    <w:rsid w:val="004409C1"/>
    <w:rsid w:val="00441159"/>
    <w:rsid w:val="00472CEA"/>
    <w:rsid w:val="0047773B"/>
    <w:rsid w:val="004A16F5"/>
    <w:rsid w:val="004A6497"/>
    <w:rsid w:val="004B1E62"/>
    <w:rsid w:val="004D1EA4"/>
    <w:rsid w:val="0051478E"/>
    <w:rsid w:val="00567063"/>
    <w:rsid w:val="00590C02"/>
    <w:rsid w:val="005A2E02"/>
    <w:rsid w:val="006656FD"/>
    <w:rsid w:val="006D0E68"/>
    <w:rsid w:val="006F5137"/>
    <w:rsid w:val="007B4907"/>
    <w:rsid w:val="007C13CB"/>
    <w:rsid w:val="007C32E1"/>
    <w:rsid w:val="007F08B6"/>
    <w:rsid w:val="008121DC"/>
    <w:rsid w:val="008501FC"/>
    <w:rsid w:val="00854F2D"/>
    <w:rsid w:val="008D6ACF"/>
    <w:rsid w:val="008E4DE3"/>
    <w:rsid w:val="008F6ADF"/>
    <w:rsid w:val="0091538E"/>
    <w:rsid w:val="00922174"/>
    <w:rsid w:val="00954526"/>
    <w:rsid w:val="00993DC8"/>
    <w:rsid w:val="009A2657"/>
    <w:rsid w:val="009D6555"/>
    <w:rsid w:val="00A47D5C"/>
    <w:rsid w:val="00AC5030"/>
    <w:rsid w:val="00B0302C"/>
    <w:rsid w:val="00B161F3"/>
    <w:rsid w:val="00B22A43"/>
    <w:rsid w:val="00B268C7"/>
    <w:rsid w:val="00B34897"/>
    <w:rsid w:val="00B40CA9"/>
    <w:rsid w:val="00BA6B40"/>
    <w:rsid w:val="00BB0D54"/>
    <w:rsid w:val="00BB10FA"/>
    <w:rsid w:val="00BB3DDC"/>
    <w:rsid w:val="00C32437"/>
    <w:rsid w:val="00C36802"/>
    <w:rsid w:val="00C516AA"/>
    <w:rsid w:val="00C5747E"/>
    <w:rsid w:val="00C60F8F"/>
    <w:rsid w:val="00D5518B"/>
    <w:rsid w:val="00DC7DA8"/>
    <w:rsid w:val="00DF67AC"/>
    <w:rsid w:val="00E662AE"/>
    <w:rsid w:val="00EA4846"/>
    <w:rsid w:val="00F371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22E08"/>
  <w15:docId w15:val="{1F5EF19B-507E-493D-AA21-54F7FF61B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574</TotalTime>
  <Pages>22</Pages>
  <Words>5938</Words>
  <Characters>33852</Characters>
  <Application>Microsoft Office Word</Application>
  <DocSecurity>0</DocSecurity>
  <Lines>282</Lines>
  <Paragraphs>79</Paragraphs>
  <ScaleCrop>false</ScaleCrop>
  <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Nabeel Althabhawi</cp:lastModifiedBy>
  <cp:revision>74</cp:revision>
  <dcterms:created xsi:type="dcterms:W3CDTF">2026-09-08T13:58:00Z</dcterms:created>
  <dcterms:modified xsi:type="dcterms:W3CDTF">2026-09-23T18:49:00Z</dcterms:modified>
</cp:coreProperties>
</file>